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D3" w:rsidRPr="00CF7035" w:rsidRDefault="008436D3" w:rsidP="00CF7035">
      <w:pPr>
        <w:spacing w:line="360" w:lineRule="auto"/>
        <w:jc w:val="both"/>
        <w:rPr>
          <w:rFonts w:ascii="Arial" w:eastAsia="Batang" w:hAnsi="Arial" w:cs="Arial"/>
          <w:b/>
          <w:bCs/>
          <w:sz w:val="24"/>
          <w:szCs w:val="24"/>
          <w:lang w:val="en-US" w:eastAsia="de-DE"/>
        </w:rPr>
      </w:pPr>
      <w:r w:rsidRPr="00CF7035">
        <w:rPr>
          <w:rFonts w:ascii="Arial" w:eastAsia="Batang" w:hAnsi="Arial" w:cs="Arial"/>
          <w:b/>
          <w:bCs/>
          <w:sz w:val="24"/>
          <w:szCs w:val="24"/>
          <w:lang w:val="en-US" w:eastAsia="de-DE"/>
        </w:rPr>
        <w:t xml:space="preserve">Comportamiento de las alteraciones Psicológicas en la etapa postcovid en pacientes </w:t>
      </w:r>
      <w:proofErr w:type="gramStart"/>
      <w:r w:rsidRPr="00CF7035">
        <w:rPr>
          <w:rFonts w:ascii="Arial" w:eastAsia="Batang" w:hAnsi="Arial" w:cs="Arial"/>
          <w:b/>
          <w:bCs/>
          <w:sz w:val="24"/>
          <w:szCs w:val="24"/>
          <w:lang w:val="en-US" w:eastAsia="de-DE"/>
        </w:rPr>
        <w:t>del</w:t>
      </w:r>
      <w:proofErr w:type="gramEnd"/>
      <w:r w:rsidRPr="00CF7035">
        <w:rPr>
          <w:rFonts w:ascii="Arial" w:eastAsia="Batang" w:hAnsi="Arial" w:cs="Arial"/>
          <w:b/>
          <w:bCs/>
          <w:sz w:val="24"/>
          <w:szCs w:val="24"/>
          <w:lang w:val="en-US" w:eastAsia="de-DE"/>
        </w:rPr>
        <w:t xml:space="preserve"> policlínico Hermanos Martínez. Baracoa 2021</w:t>
      </w:r>
    </w:p>
    <w:p w:rsidR="00F42E94" w:rsidRPr="00CF7035" w:rsidRDefault="00F42E94" w:rsidP="00CF7035">
      <w:pPr>
        <w:spacing w:line="360" w:lineRule="auto"/>
        <w:jc w:val="both"/>
        <w:rPr>
          <w:rFonts w:ascii="Arial" w:eastAsia="Calibri" w:hAnsi="Arial" w:cs="Arial"/>
          <w:b/>
          <w:sz w:val="24"/>
          <w:szCs w:val="24"/>
        </w:rPr>
      </w:pPr>
      <w:r w:rsidRPr="00CF7035">
        <w:rPr>
          <w:rFonts w:ascii="Arial" w:eastAsia="Calibri" w:hAnsi="Arial" w:cs="Arial"/>
          <w:b/>
          <w:sz w:val="24"/>
          <w:szCs w:val="24"/>
          <w:lang w:val="en"/>
        </w:rPr>
        <w:t>Behavior of psychological alterations in the postcovid stage in patients at the Hermanos Martínez polyclinic. Baracoa 2021</w:t>
      </w:r>
    </w:p>
    <w:p w:rsidR="00F42E94" w:rsidRPr="00CF7035" w:rsidRDefault="00F42E94" w:rsidP="00CF7035">
      <w:pPr>
        <w:spacing w:line="360" w:lineRule="auto"/>
        <w:jc w:val="both"/>
        <w:rPr>
          <w:rFonts w:ascii="Arial" w:eastAsia="Calibri" w:hAnsi="Arial" w:cs="Arial"/>
          <w:b/>
          <w:sz w:val="24"/>
          <w:szCs w:val="24"/>
        </w:rPr>
      </w:pPr>
    </w:p>
    <w:p w:rsidR="008436D3" w:rsidRPr="00CF7035" w:rsidRDefault="008436D3" w:rsidP="00CF7035">
      <w:pPr>
        <w:spacing w:line="360" w:lineRule="auto"/>
        <w:jc w:val="both"/>
        <w:rPr>
          <w:rFonts w:ascii="Arial" w:eastAsia="Calibri" w:hAnsi="Arial" w:cs="Arial"/>
          <w:sz w:val="24"/>
          <w:szCs w:val="24"/>
        </w:rPr>
      </w:pPr>
      <w:r w:rsidRPr="00CF7035">
        <w:rPr>
          <w:rFonts w:ascii="Arial" w:eastAsia="Calibri" w:hAnsi="Arial" w:cs="Arial"/>
          <w:sz w:val="24"/>
          <w:szCs w:val="24"/>
        </w:rPr>
        <w:t>Dr Alexander Duràn Flores</w:t>
      </w:r>
      <w:r w:rsidRPr="00CF7035">
        <w:rPr>
          <w:rFonts w:ascii="Arial" w:eastAsia="Calibri" w:hAnsi="Arial" w:cs="Arial"/>
          <w:sz w:val="24"/>
          <w:szCs w:val="24"/>
          <w:vertAlign w:val="superscript"/>
        </w:rPr>
        <w:t>1</w:t>
      </w:r>
      <w:r w:rsidR="004A7F28" w:rsidRPr="00CF7035">
        <w:rPr>
          <w:rFonts w:ascii="Arial" w:hAnsi="Arial" w:cs="Arial"/>
          <w:b/>
          <w:bCs/>
          <w:color w:val="000000"/>
          <w:sz w:val="24"/>
          <w:szCs w:val="24"/>
        </w:rPr>
        <w:t xml:space="preserve"> </w:t>
      </w:r>
      <w:r w:rsidR="004A7F28" w:rsidRPr="00CF7035">
        <w:rPr>
          <w:rFonts w:ascii="Arial" w:eastAsia="Calibri" w:hAnsi="Arial" w:cs="Arial"/>
          <w:bCs/>
          <w:sz w:val="24"/>
          <w:szCs w:val="24"/>
          <w:vertAlign w:val="superscript"/>
        </w:rPr>
        <w:t>https://orcid.org/0000-0003-0550-7997</w:t>
      </w:r>
    </w:p>
    <w:p w:rsidR="008436D3" w:rsidRPr="00CF7035" w:rsidRDefault="008436D3" w:rsidP="00CF7035">
      <w:pPr>
        <w:spacing w:line="360" w:lineRule="auto"/>
        <w:jc w:val="both"/>
        <w:rPr>
          <w:rFonts w:ascii="Arial" w:eastAsia="Calibri" w:hAnsi="Arial" w:cs="Arial"/>
          <w:sz w:val="24"/>
          <w:szCs w:val="24"/>
          <w:vertAlign w:val="superscript"/>
        </w:rPr>
      </w:pPr>
      <w:r w:rsidRPr="00CF7035">
        <w:rPr>
          <w:rFonts w:ascii="Arial" w:eastAsia="Calibri" w:hAnsi="Arial" w:cs="Arial"/>
          <w:sz w:val="24"/>
          <w:szCs w:val="24"/>
        </w:rPr>
        <w:t>Lic Oneidis Duràn flores</w:t>
      </w:r>
      <w:r w:rsidRPr="00CF7035">
        <w:rPr>
          <w:rFonts w:ascii="Arial" w:eastAsia="Calibri" w:hAnsi="Arial" w:cs="Arial"/>
          <w:sz w:val="24"/>
          <w:szCs w:val="24"/>
          <w:vertAlign w:val="superscript"/>
        </w:rPr>
        <w:t>2</w:t>
      </w:r>
      <w:r w:rsidR="00364AF1" w:rsidRPr="00CF7035">
        <w:rPr>
          <w:rFonts w:ascii="Arial" w:eastAsia="Calibri" w:hAnsi="Arial" w:cs="Arial"/>
          <w:sz w:val="24"/>
          <w:szCs w:val="24"/>
          <w:vertAlign w:val="superscript"/>
        </w:rPr>
        <w:t xml:space="preserve"> </w:t>
      </w:r>
      <w:r w:rsidR="00364AF1" w:rsidRPr="00CF7035">
        <w:rPr>
          <w:rFonts w:ascii="Arial" w:eastAsia="Calibri" w:hAnsi="Arial" w:cs="Arial"/>
          <w:bCs/>
          <w:sz w:val="24"/>
          <w:szCs w:val="24"/>
          <w:vertAlign w:val="superscript"/>
        </w:rPr>
        <w:t>https://orcid.org/0000-0002-8098-8201</w:t>
      </w:r>
    </w:p>
    <w:p w:rsidR="008436D3" w:rsidRPr="00CF7035" w:rsidRDefault="008436D3" w:rsidP="00CF7035">
      <w:pPr>
        <w:spacing w:line="360" w:lineRule="auto"/>
        <w:jc w:val="both"/>
        <w:rPr>
          <w:rFonts w:ascii="Arial" w:eastAsia="Calibri" w:hAnsi="Arial" w:cs="Arial"/>
          <w:sz w:val="24"/>
          <w:szCs w:val="24"/>
          <w:vertAlign w:val="superscript"/>
        </w:rPr>
      </w:pPr>
      <w:r w:rsidRPr="00CF7035">
        <w:rPr>
          <w:rFonts w:ascii="Arial" w:eastAsia="Calibri" w:hAnsi="Arial" w:cs="Arial"/>
          <w:sz w:val="24"/>
          <w:szCs w:val="24"/>
        </w:rPr>
        <w:t>Lic Lisbán Rodríguez López</w:t>
      </w:r>
      <w:r w:rsidRPr="00CF7035">
        <w:rPr>
          <w:rFonts w:ascii="Arial" w:eastAsia="Calibri" w:hAnsi="Arial" w:cs="Arial"/>
          <w:sz w:val="24"/>
          <w:szCs w:val="24"/>
          <w:vertAlign w:val="superscript"/>
        </w:rPr>
        <w:t>3</w:t>
      </w:r>
      <w:r w:rsidR="00364AF1" w:rsidRPr="00CF7035">
        <w:rPr>
          <w:rFonts w:ascii="Arial" w:eastAsia="Calibri" w:hAnsi="Arial" w:cs="Arial"/>
          <w:sz w:val="24"/>
          <w:szCs w:val="24"/>
          <w:vertAlign w:val="superscript"/>
        </w:rPr>
        <w:t xml:space="preserve"> </w:t>
      </w:r>
      <w:r w:rsidR="00364AF1" w:rsidRPr="00CF7035">
        <w:rPr>
          <w:rFonts w:ascii="Arial" w:eastAsia="Calibri" w:hAnsi="Arial" w:cs="Arial"/>
          <w:bCs/>
          <w:sz w:val="24"/>
          <w:szCs w:val="24"/>
          <w:vertAlign w:val="superscript"/>
        </w:rPr>
        <w:t>https://orcid.org/0000-0002-1965-0500</w:t>
      </w:r>
    </w:p>
    <w:p w:rsidR="008436D3" w:rsidRPr="00CF7035" w:rsidRDefault="008436D3" w:rsidP="00CF7035">
      <w:pPr>
        <w:spacing w:line="360" w:lineRule="auto"/>
        <w:jc w:val="both"/>
        <w:rPr>
          <w:rFonts w:ascii="Arial" w:eastAsia="Calibri" w:hAnsi="Arial" w:cs="Arial"/>
          <w:sz w:val="24"/>
          <w:szCs w:val="24"/>
          <w:vertAlign w:val="superscript"/>
        </w:rPr>
      </w:pPr>
      <w:r w:rsidRPr="00CF7035">
        <w:rPr>
          <w:rFonts w:ascii="Arial" w:eastAsia="Calibri" w:hAnsi="Arial" w:cs="Arial"/>
          <w:sz w:val="24"/>
          <w:szCs w:val="24"/>
        </w:rPr>
        <w:t>Dra Yariuska Fernández Sopeña</w:t>
      </w:r>
      <w:r w:rsidRPr="00CF7035">
        <w:rPr>
          <w:rFonts w:ascii="Arial" w:eastAsia="Calibri" w:hAnsi="Arial" w:cs="Arial"/>
          <w:sz w:val="24"/>
          <w:szCs w:val="24"/>
          <w:vertAlign w:val="superscript"/>
        </w:rPr>
        <w:t>4</w:t>
      </w:r>
      <w:r w:rsidR="008C6DFB" w:rsidRPr="00CF7035">
        <w:rPr>
          <w:rFonts w:ascii="Arial" w:eastAsia="Calibri" w:hAnsi="Arial" w:cs="Arial"/>
          <w:sz w:val="24"/>
          <w:szCs w:val="24"/>
          <w:vertAlign w:val="superscript"/>
        </w:rPr>
        <w:t xml:space="preserve"> https://orcid.org/</w:t>
      </w:r>
      <w:r w:rsidR="008C6DFB" w:rsidRPr="00CF7035">
        <w:rPr>
          <w:rFonts w:ascii="Arial" w:eastAsia="Calibri" w:hAnsi="Arial" w:cs="Arial"/>
          <w:bCs/>
          <w:sz w:val="24"/>
          <w:szCs w:val="24"/>
          <w:vertAlign w:val="superscript"/>
        </w:rPr>
        <w:t>0000-0001-6368-5623</w:t>
      </w:r>
    </w:p>
    <w:p w:rsidR="008436D3" w:rsidRPr="00CF7035" w:rsidRDefault="008436D3" w:rsidP="00CF7035">
      <w:pPr>
        <w:tabs>
          <w:tab w:val="left" w:pos="340"/>
          <w:tab w:val="left" w:pos="680"/>
        </w:tabs>
        <w:spacing w:after="0" w:line="360" w:lineRule="auto"/>
        <w:ind w:firstLine="227"/>
        <w:jc w:val="both"/>
        <w:rPr>
          <w:rFonts w:ascii="Arial" w:eastAsia="Batang" w:hAnsi="Arial" w:cs="Arial"/>
          <w:color w:val="4D5156"/>
          <w:sz w:val="24"/>
          <w:szCs w:val="24"/>
          <w:shd w:val="clear" w:color="auto" w:fill="FFFFFF"/>
          <w:lang w:val="en-US" w:eastAsia="de-DE"/>
        </w:rPr>
      </w:pPr>
      <w:r w:rsidRPr="00CF7035">
        <w:rPr>
          <w:rFonts w:ascii="Arial" w:eastAsia="Batang" w:hAnsi="Arial" w:cs="Arial"/>
          <w:sz w:val="24"/>
          <w:szCs w:val="24"/>
          <w:vertAlign w:val="superscript"/>
          <w:lang w:val="en-US" w:eastAsia="de-DE"/>
        </w:rPr>
        <w:t>1</w:t>
      </w:r>
      <w:r w:rsidRPr="00CF7035">
        <w:rPr>
          <w:rFonts w:ascii="Arial" w:eastAsia="Batang" w:hAnsi="Arial" w:cs="Arial"/>
          <w:sz w:val="24"/>
          <w:szCs w:val="24"/>
          <w:lang w:val="en-US" w:eastAsia="de-DE"/>
        </w:rPr>
        <w:t xml:space="preserve">Policlìnico Hermanos Martínez Tamayo. Baracoa. Cuba. </w:t>
      </w:r>
      <w:hyperlink r:id="rId7" w:history="1">
        <w:r w:rsidRPr="00CF7035">
          <w:rPr>
            <w:rFonts w:ascii="Arial" w:eastAsia="Batang" w:hAnsi="Arial" w:cs="Arial"/>
            <w:sz w:val="24"/>
            <w:szCs w:val="24"/>
            <w:lang w:val="en-US" w:eastAsia="de-DE"/>
          </w:rPr>
          <w:t>alexliduranflores</w:t>
        </w:r>
        <w:r w:rsidRPr="00CF7035">
          <w:rPr>
            <w:rFonts w:ascii="Arial" w:eastAsia="Batang" w:hAnsi="Arial" w:cs="Arial"/>
            <w:sz w:val="24"/>
            <w:szCs w:val="24"/>
            <w:shd w:val="clear" w:color="auto" w:fill="FFFFFF"/>
            <w:lang w:val="en-US" w:eastAsia="de-DE"/>
          </w:rPr>
          <w:t>@gmail.com</w:t>
        </w:r>
      </w:hyperlink>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color w:val="4D5156"/>
          <w:sz w:val="24"/>
          <w:szCs w:val="24"/>
          <w:shd w:val="clear" w:color="auto" w:fill="FFFFFF"/>
          <w:vertAlign w:val="superscript"/>
          <w:lang w:val="en-US" w:eastAsia="de-DE"/>
        </w:rPr>
        <w:t>2</w:t>
      </w:r>
      <w:r w:rsidRPr="00CF7035">
        <w:rPr>
          <w:rFonts w:ascii="Arial" w:eastAsia="Batang" w:hAnsi="Arial" w:cs="Arial"/>
          <w:color w:val="4D5156"/>
          <w:sz w:val="24"/>
          <w:szCs w:val="24"/>
          <w:shd w:val="clear" w:color="auto" w:fill="FFFFFF"/>
          <w:lang w:val="en-US" w:eastAsia="de-DE"/>
        </w:rPr>
        <w:t>Hospital Octavio de la Concepción y la Pedraja</w:t>
      </w:r>
      <w:r w:rsidRPr="00CF7035">
        <w:rPr>
          <w:rFonts w:ascii="Arial" w:eastAsia="Batang" w:hAnsi="Arial" w:cs="Arial"/>
          <w:sz w:val="24"/>
          <w:szCs w:val="24"/>
          <w:lang w:val="en-US" w:eastAsia="de-DE"/>
        </w:rPr>
        <w:t xml:space="preserve">. Baracoa. Cuba. </w:t>
      </w:r>
      <w:hyperlink r:id="rId8" w:history="1">
        <w:r w:rsidRPr="00CF7035">
          <w:rPr>
            <w:rFonts w:ascii="Arial" w:eastAsia="Batang" w:hAnsi="Arial" w:cs="Arial"/>
            <w:sz w:val="24"/>
            <w:szCs w:val="24"/>
            <w:lang w:val="en-US" w:eastAsia="de-DE"/>
          </w:rPr>
          <w:t>oneidisduranflores@gmail.com</w:t>
        </w:r>
      </w:hyperlink>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vertAlign w:val="superscript"/>
          <w:lang w:val="en-US" w:eastAsia="de-DE"/>
        </w:rPr>
        <w:t>3</w:t>
      </w:r>
      <w:r w:rsidRPr="00CF7035">
        <w:rPr>
          <w:rFonts w:ascii="Arial" w:eastAsia="Batang" w:hAnsi="Arial" w:cs="Arial"/>
          <w:sz w:val="24"/>
          <w:szCs w:val="24"/>
          <w:lang w:val="en-US" w:eastAsia="de-DE"/>
        </w:rPr>
        <w:t xml:space="preserve"> Policlínico Hermanos Martínez Tamayo. Baracoa. Cuba. </w:t>
      </w:r>
      <w:hyperlink r:id="rId9" w:history="1">
        <w:r w:rsidRPr="00CF7035">
          <w:rPr>
            <w:rFonts w:ascii="Arial" w:eastAsia="Batang" w:hAnsi="Arial" w:cs="Arial"/>
            <w:sz w:val="24"/>
            <w:szCs w:val="24"/>
            <w:lang w:val="en-US" w:eastAsia="de-DE"/>
          </w:rPr>
          <w:t>lisbanrodriguez@nauta.cu</w:t>
        </w:r>
      </w:hyperlink>
    </w:p>
    <w:p w:rsidR="008436D3" w:rsidRPr="00CF7035" w:rsidRDefault="008436D3" w:rsidP="00CF7035">
      <w:pPr>
        <w:tabs>
          <w:tab w:val="left" w:pos="340"/>
          <w:tab w:val="left" w:pos="680"/>
        </w:tabs>
        <w:spacing w:after="0" w:line="360" w:lineRule="auto"/>
        <w:ind w:firstLine="227"/>
        <w:jc w:val="both"/>
        <w:rPr>
          <w:rFonts w:ascii="Arial" w:eastAsia="Batang" w:hAnsi="Arial" w:cs="Arial"/>
          <w:bCs/>
          <w:sz w:val="24"/>
          <w:szCs w:val="24"/>
          <w:lang w:val="en-US" w:eastAsia="de-DE"/>
        </w:rPr>
      </w:pPr>
      <w:r w:rsidRPr="00CF7035">
        <w:rPr>
          <w:rFonts w:ascii="Arial" w:eastAsia="Batang" w:hAnsi="Arial" w:cs="Arial"/>
          <w:sz w:val="24"/>
          <w:szCs w:val="24"/>
          <w:vertAlign w:val="superscript"/>
          <w:lang w:val="en-US" w:eastAsia="de-DE"/>
        </w:rPr>
        <w:t>4</w:t>
      </w:r>
      <w:r w:rsidRPr="00CF7035">
        <w:rPr>
          <w:rFonts w:ascii="Arial" w:eastAsia="Batang" w:hAnsi="Arial" w:cs="Arial"/>
          <w:sz w:val="24"/>
          <w:szCs w:val="24"/>
          <w:lang w:val="en-US" w:eastAsia="de-DE"/>
        </w:rPr>
        <w:t>Policlínico Hermanos Martínez Tamayo. Baracoa. Cuba.</w:t>
      </w:r>
      <w:r w:rsidRPr="00CF7035">
        <w:rPr>
          <w:rFonts w:ascii="Arial" w:eastAsia="Batang" w:hAnsi="Arial" w:cs="Arial"/>
          <w:b/>
          <w:bCs/>
          <w:color w:val="595959"/>
          <w:sz w:val="24"/>
          <w:szCs w:val="24"/>
          <w:shd w:val="clear" w:color="auto" w:fill="FFFFFF"/>
          <w:lang w:val="en-US" w:eastAsia="de-DE"/>
        </w:rPr>
        <w:t xml:space="preserve"> </w:t>
      </w:r>
      <w:hyperlink r:id="rId10" w:history="1">
        <w:r w:rsidRPr="00CF7035">
          <w:rPr>
            <w:rFonts w:ascii="Arial" w:eastAsia="Batang" w:hAnsi="Arial" w:cs="Arial"/>
            <w:bCs/>
            <w:sz w:val="24"/>
            <w:szCs w:val="24"/>
            <w:lang w:val="en-US" w:eastAsia="de-DE"/>
          </w:rPr>
          <w:t>yariuskafs@infomed.sld.cu</w:t>
        </w:r>
      </w:hyperlink>
    </w:p>
    <w:p w:rsidR="008436D3" w:rsidRPr="00CF7035" w:rsidRDefault="00A463A9" w:rsidP="00CF7035">
      <w:pPr>
        <w:spacing w:line="360" w:lineRule="auto"/>
        <w:jc w:val="both"/>
        <w:rPr>
          <w:rFonts w:ascii="Arial" w:hAnsi="Arial" w:cs="Arial"/>
          <w:sz w:val="24"/>
          <w:szCs w:val="24"/>
        </w:rPr>
      </w:pPr>
      <w:r w:rsidRPr="00CF7035">
        <w:rPr>
          <w:rFonts w:ascii="Arial" w:hAnsi="Arial" w:cs="Arial"/>
          <w:sz w:val="24"/>
          <w:szCs w:val="24"/>
        </w:rPr>
        <w:t>RESUMEN</w:t>
      </w:r>
    </w:p>
    <w:p w:rsidR="008436D3" w:rsidRPr="00CF7035" w:rsidRDefault="008436D3" w:rsidP="00CF7035">
      <w:pPr>
        <w:spacing w:after="100" w:afterAutospacing="1" w:line="360" w:lineRule="auto"/>
        <w:jc w:val="both"/>
        <w:rPr>
          <w:rFonts w:ascii="Arial" w:eastAsia="Times New Roman" w:hAnsi="Arial" w:cs="Arial"/>
          <w:color w:val="FF0000"/>
          <w:sz w:val="24"/>
          <w:szCs w:val="24"/>
          <w:lang w:val="en-US" w:eastAsia="es-ES"/>
        </w:rPr>
      </w:pPr>
      <w:r w:rsidRPr="00CF7035">
        <w:rPr>
          <w:rFonts w:ascii="Arial" w:eastAsia="Batang" w:hAnsi="Arial" w:cs="Arial"/>
          <w:bCs/>
          <w:sz w:val="24"/>
          <w:szCs w:val="24"/>
          <w:lang w:val="en-US" w:eastAsia="de-DE"/>
        </w:rPr>
        <w:t>Introducción</w:t>
      </w:r>
      <w:r w:rsidRPr="00CF7035">
        <w:rPr>
          <w:rFonts w:ascii="Arial" w:eastAsia="Times New Roman" w:hAnsi="Arial" w:cs="Arial"/>
          <w:color w:val="000000"/>
          <w:sz w:val="24"/>
          <w:szCs w:val="24"/>
          <w:lang w:val="es-ES_tradnl" w:eastAsia="es-ES"/>
        </w:rPr>
        <w:t xml:space="preserve">: </w:t>
      </w:r>
      <w:r w:rsidRPr="00CF7035">
        <w:rPr>
          <w:rFonts w:ascii="Arial" w:eastAsia="Batang" w:hAnsi="Arial" w:cs="Arial"/>
          <w:color w:val="000000"/>
          <w:sz w:val="24"/>
          <w:szCs w:val="24"/>
          <w:lang w:val="en-US" w:eastAsia="de-DE"/>
        </w:rPr>
        <w:t xml:space="preserve">La condición post-COVID 19 es </w:t>
      </w:r>
      <w:proofErr w:type="gramStart"/>
      <w:r w:rsidRPr="00CF7035">
        <w:rPr>
          <w:rFonts w:ascii="Arial" w:eastAsia="Batang" w:hAnsi="Arial" w:cs="Arial"/>
          <w:color w:val="000000"/>
          <w:sz w:val="24"/>
          <w:szCs w:val="24"/>
          <w:lang w:val="en-US" w:eastAsia="de-DE"/>
        </w:rPr>
        <w:t>un</w:t>
      </w:r>
      <w:proofErr w:type="gramEnd"/>
      <w:r w:rsidRPr="00CF7035">
        <w:rPr>
          <w:rFonts w:ascii="Arial" w:eastAsia="Batang" w:hAnsi="Arial" w:cs="Arial"/>
          <w:color w:val="000000"/>
          <w:sz w:val="24"/>
          <w:szCs w:val="24"/>
          <w:lang w:val="en-US" w:eastAsia="de-DE"/>
        </w:rPr>
        <w:t xml:space="preserve"> nuevo desafío. De ahí que una vez pasada la fase aguda de la actual pandemia, los profesionales de la salud deben planificar el seguimiento ambulatorio de los pacientes que </w:t>
      </w:r>
      <w:proofErr w:type="gramStart"/>
      <w:r w:rsidRPr="00CF7035">
        <w:rPr>
          <w:rFonts w:ascii="Arial" w:eastAsia="Batang" w:hAnsi="Arial" w:cs="Arial"/>
          <w:color w:val="000000"/>
          <w:sz w:val="24"/>
          <w:szCs w:val="24"/>
          <w:lang w:val="en-US" w:eastAsia="de-DE"/>
        </w:rPr>
        <w:t>han</w:t>
      </w:r>
      <w:proofErr w:type="gramEnd"/>
      <w:r w:rsidRPr="00CF7035">
        <w:rPr>
          <w:rFonts w:ascii="Arial" w:eastAsia="Batang" w:hAnsi="Arial" w:cs="Arial"/>
          <w:color w:val="000000"/>
          <w:sz w:val="24"/>
          <w:szCs w:val="24"/>
          <w:lang w:val="en-US" w:eastAsia="de-DE"/>
        </w:rPr>
        <w:t xml:space="preserve"> sobrevivido a esta infección</w:t>
      </w:r>
      <w:r w:rsidRPr="00CF7035">
        <w:rPr>
          <w:rFonts w:ascii="Arial" w:eastAsia="Times New Roman" w:hAnsi="Arial" w:cs="Arial"/>
          <w:color w:val="000000"/>
          <w:sz w:val="24"/>
          <w:szCs w:val="24"/>
          <w:lang w:val="en-US" w:eastAsia="es-ES"/>
        </w:rPr>
        <w:t xml:space="preserve">. </w:t>
      </w:r>
      <w:r w:rsidRPr="00CF7035">
        <w:rPr>
          <w:rFonts w:ascii="Arial" w:eastAsia="Times New Roman" w:hAnsi="Arial" w:cs="Arial"/>
          <w:color w:val="000000"/>
          <w:sz w:val="24"/>
          <w:szCs w:val="24"/>
          <w:lang w:val="es-ES_tradnl" w:eastAsia="es-ES"/>
        </w:rPr>
        <w:t xml:space="preserve">Objetivo: </w:t>
      </w:r>
      <w:r w:rsidRPr="00CF7035">
        <w:rPr>
          <w:rFonts w:ascii="Arial" w:eastAsia="Times New Roman" w:hAnsi="Arial" w:cs="Arial"/>
          <w:color w:val="000000"/>
          <w:sz w:val="24"/>
          <w:szCs w:val="24"/>
          <w:lang w:val="en-US" w:eastAsia="es-ES"/>
        </w:rPr>
        <w:t>Caracterizar</w:t>
      </w:r>
      <w:r w:rsidRPr="00CF7035">
        <w:rPr>
          <w:rFonts w:ascii="Arial" w:eastAsia="Batang" w:hAnsi="Arial" w:cs="Arial"/>
          <w:color w:val="000000"/>
          <w:sz w:val="24"/>
          <w:szCs w:val="24"/>
          <w:lang w:val="en-US" w:eastAsia="de-DE"/>
        </w:rPr>
        <w:t xml:space="preserve"> las alteraciones psicológicas</w:t>
      </w:r>
      <w:r w:rsidRPr="00CF7035">
        <w:rPr>
          <w:rFonts w:ascii="Arial" w:eastAsia="Times New Roman" w:hAnsi="Arial" w:cs="Arial"/>
          <w:color w:val="000000"/>
          <w:sz w:val="24"/>
          <w:szCs w:val="24"/>
          <w:lang w:val="en-US" w:eastAsia="es-ES"/>
        </w:rPr>
        <w:t xml:space="preserve"> en pacientes durante la etapa post COVID</w:t>
      </w:r>
      <w:r w:rsidRPr="00CF7035">
        <w:rPr>
          <w:rFonts w:ascii="Arial" w:eastAsia="Times New Roman" w:hAnsi="Arial" w:cs="Arial"/>
          <w:color w:val="000000"/>
          <w:sz w:val="24"/>
          <w:szCs w:val="24"/>
          <w:lang w:val="es-ES_tradnl" w:eastAsia="es-ES"/>
        </w:rPr>
        <w:t xml:space="preserve"> Método: </w:t>
      </w:r>
      <w:r w:rsidRPr="00CF7035">
        <w:rPr>
          <w:rFonts w:ascii="Arial" w:eastAsia="Times New Roman" w:hAnsi="Arial" w:cs="Arial"/>
          <w:color w:val="000000"/>
          <w:sz w:val="24"/>
          <w:szCs w:val="24"/>
          <w:lang w:val="en-US" w:eastAsia="es-ES"/>
        </w:rPr>
        <w:t xml:space="preserve">Se realizó estudio descriptivo de corte transversal en pacientes durante el post COVID-19 pertenecientes al policlínico “Hermanos Martínez Tamayo” en el periodo de octubre a noviembre de 2021. El universo estuvo constituido por los 400 pacientes que asistieron a la consulta de post-COVID. La obtención de la información se realizó a través de las encuestas realizadas. Se utilizó la estadística descriptiva a través de frecuencias absolutas y relativas porcentuales; la media aritmética y desviación estándar para variables cuantitativas. </w:t>
      </w:r>
      <w:r w:rsidRPr="00CF7035">
        <w:rPr>
          <w:rFonts w:ascii="Arial" w:eastAsia="Times New Roman" w:hAnsi="Arial" w:cs="Arial"/>
          <w:color w:val="000000"/>
          <w:sz w:val="24"/>
          <w:szCs w:val="24"/>
          <w:lang w:val="es-ES_tradnl" w:eastAsia="es-ES"/>
        </w:rPr>
        <w:t xml:space="preserve">Resultados: </w:t>
      </w:r>
      <w:r w:rsidRPr="00CF7035">
        <w:rPr>
          <w:rFonts w:ascii="Arial" w:eastAsia="Times New Roman" w:hAnsi="Arial" w:cs="Arial"/>
          <w:color w:val="000000"/>
          <w:sz w:val="24"/>
          <w:szCs w:val="24"/>
          <w:lang w:val="en-US" w:eastAsia="es-ES"/>
        </w:rPr>
        <w:t xml:space="preserve">Predominaron los pacientes con edades entre los 50 y 59 años, del sexo femenino. </w:t>
      </w:r>
      <w:r w:rsidRPr="00CF7035">
        <w:rPr>
          <w:rFonts w:ascii="Arial" w:eastAsia="Times New Roman" w:hAnsi="Arial" w:cs="Arial"/>
          <w:sz w:val="24"/>
          <w:szCs w:val="24"/>
          <w:lang w:val="en-US" w:eastAsia="es-ES"/>
        </w:rPr>
        <w:t>El síntoma más frecuente fue el insomnio con un 79 %, seguido de la depresión con un 59%, todo esto contribuyó a que el 35% de los pacientes con edad laboral presentaran una disminución de su capacidad de trabajo.</w:t>
      </w:r>
      <w:r w:rsidRPr="00CF7035">
        <w:rPr>
          <w:rFonts w:ascii="Arial" w:eastAsia="Times New Roman" w:hAnsi="Arial" w:cs="Arial"/>
          <w:sz w:val="24"/>
          <w:szCs w:val="24"/>
          <w:lang w:val="es-ES_tradnl" w:eastAsia="es-ES"/>
        </w:rPr>
        <w:t>Conclusiones:</w:t>
      </w:r>
      <w:r w:rsidRPr="00CF7035">
        <w:rPr>
          <w:rFonts w:ascii="Arial" w:eastAsia="Times New Roman" w:hAnsi="Arial" w:cs="Arial"/>
          <w:color w:val="000000"/>
          <w:sz w:val="24"/>
          <w:szCs w:val="24"/>
          <w:lang w:val="es-ES_tradnl" w:eastAsia="es-ES"/>
        </w:rPr>
        <w:t xml:space="preserve"> </w:t>
      </w:r>
      <w:r w:rsidRPr="00CF7035">
        <w:rPr>
          <w:rFonts w:ascii="Arial" w:eastAsia="Times New Roman" w:hAnsi="Arial" w:cs="Arial"/>
          <w:color w:val="000000"/>
          <w:sz w:val="24"/>
          <w:szCs w:val="24"/>
          <w:lang w:val="en-US" w:eastAsia="es-ES"/>
        </w:rPr>
        <w:t xml:space="preserve">Predominaron los pacientes con edades entre los 50 y 59 años, del sexo </w:t>
      </w:r>
      <w:r w:rsidRPr="00CF7035">
        <w:rPr>
          <w:rFonts w:ascii="Arial" w:eastAsia="Times New Roman" w:hAnsi="Arial" w:cs="Arial"/>
          <w:color w:val="000000"/>
          <w:sz w:val="24"/>
          <w:szCs w:val="24"/>
          <w:lang w:val="en-US" w:eastAsia="es-ES"/>
        </w:rPr>
        <w:lastRenderedPageBreak/>
        <w:t xml:space="preserve">femenino. </w:t>
      </w:r>
      <w:r w:rsidRPr="00CF7035">
        <w:rPr>
          <w:rFonts w:ascii="Arial" w:eastAsia="Times New Roman" w:hAnsi="Arial" w:cs="Arial"/>
          <w:sz w:val="24"/>
          <w:szCs w:val="24"/>
          <w:lang w:val="en-US" w:eastAsia="es-ES"/>
        </w:rPr>
        <w:t>El síntoma más frecuente fue el insomnio con un 79 %, seguido de la depresión con un 59%, todo esto contribuyó a que el 35% de los pacientes con edad laboral presentaran una disminución de su capacidad de trabajo.</w:t>
      </w:r>
    </w:p>
    <w:p w:rsidR="008436D3" w:rsidRPr="00CF7035" w:rsidRDefault="008436D3" w:rsidP="00CF7035">
      <w:pPr>
        <w:tabs>
          <w:tab w:val="left" w:pos="340"/>
          <w:tab w:val="left" w:pos="680"/>
        </w:tabs>
        <w:spacing w:after="100" w:afterAutospacing="1" w:line="360" w:lineRule="auto"/>
        <w:ind w:firstLine="227"/>
        <w:jc w:val="both"/>
        <w:rPr>
          <w:rFonts w:ascii="Arial" w:eastAsia="Times New Roman" w:hAnsi="Arial" w:cs="Arial"/>
          <w:b/>
          <w:color w:val="000000"/>
          <w:sz w:val="24"/>
          <w:szCs w:val="24"/>
          <w:lang w:val="en-US" w:eastAsia="es-ES"/>
        </w:rPr>
      </w:pPr>
      <w:r w:rsidRPr="00CF7035">
        <w:rPr>
          <w:rFonts w:ascii="Arial" w:eastAsia="Times New Roman" w:hAnsi="Arial" w:cs="Arial"/>
          <w:b/>
          <w:color w:val="000000"/>
          <w:sz w:val="24"/>
          <w:szCs w:val="24"/>
          <w:lang w:val="en-US" w:eastAsia="es-ES"/>
        </w:rPr>
        <w:t>Palabras clave: virus SARS-CoV-2, COVID-19, post-COVID 19</w:t>
      </w:r>
    </w:p>
    <w:p w:rsidR="00F42E94" w:rsidRPr="00CF7035" w:rsidRDefault="00F42E94" w:rsidP="00CF7035">
      <w:pPr>
        <w:tabs>
          <w:tab w:val="left" w:pos="340"/>
          <w:tab w:val="left" w:pos="680"/>
        </w:tabs>
        <w:spacing w:after="100" w:afterAutospacing="1" w:line="360" w:lineRule="auto"/>
        <w:ind w:firstLine="227"/>
        <w:jc w:val="both"/>
        <w:rPr>
          <w:rFonts w:ascii="Arial" w:eastAsia="Times New Roman" w:hAnsi="Arial" w:cs="Arial"/>
          <w:b/>
          <w:color w:val="000000"/>
          <w:sz w:val="24"/>
          <w:szCs w:val="24"/>
          <w:lang w:val="en" w:eastAsia="es-ES"/>
        </w:rPr>
      </w:pPr>
      <w:r w:rsidRPr="00CF7035">
        <w:rPr>
          <w:rFonts w:ascii="Arial" w:eastAsia="Times New Roman" w:hAnsi="Arial" w:cs="Arial"/>
          <w:b/>
          <w:color w:val="000000"/>
          <w:sz w:val="24"/>
          <w:szCs w:val="24"/>
          <w:lang w:val="en" w:eastAsia="es-ES"/>
        </w:rPr>
        <w:t>ABSTRACT</w:t>
      </w:r>
    </w:p>
    <w:p w:rsidR="00F42E94" w:rsidRPr="00CF7035" w:rsidRDefault="00F42E94" w:rsidP="00CF7035">
      <w:pPr>
        <w:tabs>
          <w:tab w:val="left" w:pos="340"/>
          <w:tab w:val="left" w:pos="680"/>
        </w:tabs>
        <w:spacing w:after="100" w:afterAutospacing="1" w:line="360" w:lineRule="auto"/>
        <w:ind w:firstLine="227"/>
        <w:jc w:val="both"/>
        <w:rPr>
          <w:rFonts w:ascii="Arial" w:eastAsia="Times New Roman" w:hAnsi="Arial" w:cs="Arial"/>
          <w:color w:val="000000"/>
          <w:sz w:val="24"/>
          <w:szCs w:val="24"/>
          <w:lang w:val="en" w:eastAsia="es-ES"/>
        </w:rPr>
      </w:pPr>
      <w:r w:rsidRPr="00CF7035">
        <w:rPr>
          <w:rFonts w:ascii="Arial" w:eastAsia="Times New Roman" w:hAnsi="Arial" w:cs="Arial"/>
          <w:color w:val="000000"/>
          <w:sz w:val="24"/>
          <w:szCs w:val="24"/>
          <w:lang w:val="en" w:eastAsia="es-ES"/>
        </w:rPr>
        <w:t xml:space="preserve">Introduction: The post-COVID 19 condition is a new challenge. Hence, once the acute phase of the current pandemic is over, health professionals must plan the outpatient follow-up of patients who have survived this infection. Objective: To characterize the psychological alterations in patients during the post-COVID stage. Method: A descriptive cross-sectional study was carried out in patients during the post-COVID-19 period belonging to the "Hermanos Martínez Tamayo" polyclinic in the period from October to November 2021. The universe </w:t>
      </w:r>
      <w:proofErr w:type="gramStart"/>
      <w:r w:rsidRPr="00CF7035">
        <w:rPr>
          <w:rFonts w:ascii="Arial" w:eastAsia="Times New Roman" w:hAnsi="Arial" w:cs="Arial"/>
          <w:color w:val="000000"/>
          <w:sz w:val="24"/>
          <w:szCs w:val="24"/>
          <w:lang w:val="en" w:eastAsia="es-ES"/>
        </w:rPr>
        <w:t>It</w:t>
      </w:r>
      <w:proofErr w:type="gramEnd"/>
      <w:r w:rsidRPr="00CF7035">
        <w:rPr>
          <w:rFonts w:ascii="Arial" w:eastAsia="Times New Roman" w:hAnsi="Arial" w:cs="Arial"/>
          <w:color w:val="000000"/>
          <w:sz w:val="24"/>
          <w:szCs w:val="24"/>
          <w:lang w:val="en" w:eastAsia="es-ES"/>
        </w:rPr>
        <w:t xml:space="preserve"> was made up of the 400 patients who attended the post-COVID consultation. Obtaining the information was carried out through the surveys carried out. Descriptive statistics were used through absolute and relative percentage frequencies; the arithmetic mean and standard deviation for quantitative variables. Results: Patients aged between 50 and 59 years, female, predominated. The most frequent symptom was insomnia with 79%, followed by depression with 59%, all this contributed to the fact that 35% of patients of working age presented a decrease in their work capacity. Conclusions: Patients with ages between 50 and 59 years, female. The most frequent symptom was insomnia with 79%, followed by depression with 59%, all of which contributed to the fact that 35% of patients of working age presented a decrease in their ability to work.</w:t>
      </w:r>
    </w:p>
    <w:p w:rsidR="00F42E94" w:rsidRPr="00CF7035" w:rsidRDefault="00F42E94" w:rsidP="00CF7035">
      <w:pPr>
        <w:tabs>
          <w:tab w:val="left" w:pos="340"/>
          <w:tab w:val="left" w:pos="680"/>
        </w:tabs>
        <w:spacing w:after="100" w:afterAutospacing="1" w:line="360" w:lineRule="auto"/>
        <w:ind w:firstLine="227"/>
        <w:jc w:val="both"/>
        <w:rPr>
          <w:rFonts w:ascii="Arial" w:eastAsia="Times New Roman" w:hAnsi="Arial" w:cs="Arial"/>
          <w:b/>
          <w:color w:val="000000"/>
          <w:sz w:val="24"/>
          <w:szCs w:val="24"/>
          <w:lang w:eastAsia="es-ES"/>
        </w:rPr>
      </w:pPr>
      <w:r w:rsidRPr="00CF7035">
        <w:rPr>
          <w:rFonts w:ascii="Arial" w:eastAsia="Times New Roman" w:hAnsi="Arial" w:cs="Arial"/>
          <w:b/>
          <w:color w:val="000000"/>
          <w:sz w:val="24"/>
          <w:szCs w:val="24"/>
          <w:lang w:val="en" w:eastAsia="es-ES"/>
        </w:rPr>
        <w:t>Keywords: SARS-CoV-2 virus, COVID-19, post-COVID 19</w:t>
      </w:r>
    </w:p>
    <w:p w:rsidR="00F42E94" w:rsidRPr="00CF7035" w:rsidRDefault="00F42E94" w:rsidP="00CF7035">
      <w:pPr>
        <w:tabs>
          <w:tab w:val="left" w:pos="340"/>
          <w:tab w:val="left" w:pos="680"/>
        </w:tabs>
        <w:spacing w:after="100" w:afterAutospacing="1" w:line="360" w:lineRule="auto"/>
        <w:ind w:firstLine="227"/>
        <w:jc w:val="both"/>
        <w:rPr>
          <w:rFonts w:ascii="Arial" w:eastAsia="Times New Roman" w:hAnsi="Arial" w:cs="Arial"/>
          <w:b/>
          <w:color w:val="000000"/>
          <w:sz w:val="24"/>
          <w:szCs w:val="24"/>
          <w:lang w:val="en-US" w:eastAsia="es-ES"/>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DA66CF" w:rsidRPr="00CF7035" w:rsidRDefault="00DA66CF" w:rsidP="00CF7035">
      <w:pPr>
        <w:keepLines/>
        <w:suppressAutoHyphens/>
        <w:spacing w:line="360" w:lineRule="auto"/>
        <w:contextualSpacing/>
        <w:jc w:val="both"/>
        <w:rPr>
          <w:rFonts w:ascii="Arial" w:eastAsia="Batang" w:hAnsi="Arial" w:cs="Arial"/>
          <w:sz w:val="24"/>
          <w:szCs w:val="24"/>
          <w:lang w:val="en-US" w:eastAsia="de-DE"/>
        </w:rPr>
      </w:pPr>
    </w:p>
    <w:p w:rsidR="00A463A9" w:rsidRPr="00CF7035" w:rsidRDefault="00A463A9" w:rsidP="00CF7035">
      <w:pPr>
        <w:keepLines/>
        <w:suppressAutoHyphens/>
        <w:spacing w:line="360" w:lineRule="auto"/>
        <w:contextualSpacing/>
        <w:jc w:val="both"/>
        <w:rPr>
          <w:rFonts w:ascii="Arial" w:eastAsia="Batang" w:hAnsi="Arial" w:cs="Arial"/>
          <w:sz w:val="24"/>
          <w:szCs w:val="24"/>
          <w:lang w:val="en-US" w:eastAsia="de-DE"/>
        </w:rPr>
      </w:pPr>
    </w:p>
    <w:p w:rsidR="008436D3" w:rsidRPr="00CF7035" w:rsidRDefault="008436D3" w:rsidP="00CF7035">
      <w:pPr>
        <w:keepLines/>
        <w:suppressAutoHyphens/>
        <w:spacing w:line="360" w:lineRule="auto"/>
        <w:contextualSpacing/>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 xml:space="preserve">I.INTRODUCCION </w:t>
      </w:r>
    </w:p>
    <w:p w:rsidR="008436D3" w:rsidRPr="00CF7035" w:rsidRDefault="008436D3" w:rsidP="00CF7035">
      <w:pPr>
        <w:tabs>
          <w:tab w:val="left" w:pos="340"/>
          <w:tab w:val="left" w:pos="680"/>
        </w:tabs>
        <w:spacing w:after="100" w:afterAutospacing="1"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 xml:space="preserve">A finales de la primavera de 2020, cuando se estaba empezando a controlar la primera </w:t>
      </w:r>
      <w:proofErr w:type="gramStart"/>
      <w:r w:rsidRPr="00CF7035">
        <w:rPr>
          <w:rFonts w:ascii="Arial" w:eastAsia="Batang" w:hAnsi="Arial" w:cs="Arial"/>
          <w:color w:val="000000"/>
          <w:sz w:val="24"/>
          <w:szCs w:val="24"/>
          <w:lang w:val="en-US" w:eastAsia="de-DE"/>
        </w:rPr>
        <w:t>ola</w:t>
      </w:r>
      <w:proofErr w:type="gramEnd"/>
      <w:r w:rsidRPr="00CF7035">
        <w:rPr>
          <w:rFonts w:ascii="Arial" w:eastAsia="Batang" w:hAnsi="Arial" w:cs="Arial"/>
          <w:color w:val="000000"/>
          <w:sz w:val="24"/>
          <w:szCs w:val="24"/>
          <w:lang w:val="en-US" w:eastAsia="de-DE"/>
        </w:rPr>
        <w:t xml:space="preserve"> de casos, se observó algo inusual: algunos pacientes COVID-19 todavía tenían síntomas semanas después de que pasara la infección inicial. Tenían problemas como fatiga, disnea, dolor torácico, palpitaciones, síntomas gastrointestinales, confusión mental, ansiedad y depresión, entre más de 150 síntomas posibles asociados, durante semanas o meses. Era sorprendente, porque algunos de los pacientes menos enfermos inicialmente, tratados solo en atención primaria o prácticamente asintomáticos </w:t>
      </w:r>
      <w:proofErr w:type="gramStart"/>
      <w:r w:rsidRPr="00CF7035">
        <w:rPr>
          <w:rFonts w:ascii="Arial" w:eastAsia="Batang" w:hAnsi="Arial" w:cs="Arial"/>
          <w:color w:val="000000"/>
          <w:sz w:val="24"/>
          <w:szCs w:val="24"/>
          <w:lang w:val="en-US" w:eastAsia="de-DE"/>
        </w:rPr>
        <w:t>durante</w:t>
      </w:r>
      <w:proofErr w:type="gramEnd"/>
      <w:r w:rsidRPr="00CF7035">
        <w:rPr>
          <w:rFonts w:ascii="Arial" w:eastAsia="Batang" w:hAnsi="Arial" w:cs="Arial"/>
          <w:color w:val="000000"/>
          <w:sz w:val="24"/>
          <w:szCs w:val="24"/>
          <w:lang w:val="en-US" w:eastAsia="de-DE"/>
        </w:rPr>
        <w:t xml:space="preserve"> la infección aguda, ter</w:t>
      </w:r>
      <w:r w:rsidR="0050247E" w:rsidRPr="00CF7035">
        <w:rPr>
          <w:rFonts w:ascii="Arial" w:eastAsia="Batang" w:hAnsi="Arial" w:cs="Arial"/>
          <w:color w:val="000000"/>
          <w:sz w:val="24"/>
          <w:szCs w:val="24"/>
          <w:lang w:val="en-US" w:eastAsia="de-DE"/>
        </w:rPr>
        <w:t xml:space="preserve">minaban siendo los más enfermos </w:t>
      </w:r>
      <w:r w:rsidR="0050247E" w:rsidRPr="00CF7035">
        <w:rPr>
          <w:rFonts w:ascii="Arial" w:eastAsia="Batang" w:hAnsi="Arial" w:cs="Arial"/>
          <w:color w:val="000000"/>
          <w:sz w:val="24"/>
          <w:szCs w:val="24"/>
          <w:vertAlign w:val="superscript"/>
          <w:lang w:val="en-US" w:eastAsia="de-DE"/>
        </w:rPr>
        <w:t>(</w:t>
      </w:r>
      <w:r w:rsidRPr="00CF7035">
        <w:rPr>
          <w:rFonts w:ascii="Arial" w:eastAsia="Batang" w:hAnsi="Arial" w:cs="Arial"/>
          <w:color w:val="000000"/>
          <w:sz w:val="24"/>
          <w:szCs w:val="24"/>
          <w:vertAlign w:val="superscript"/>
          <w:lang w:val="en-US" w:eastAsia="de-DE"/>
        </w:rPr>
        <w:t>1</w:t>
      </w:r>
      <w:r w:rsidR="0050247E" w:rsidRPr="00CF7035">
        <w:rPr>
          <w:rFonts w:ascii="Arial" w:eastAsia="Batang" w:hAnsi="Arial" w:cs="Arial"/>
          <w:color w:val="000000"/>
          <w:sz w:val="24"/>
          <w:szCs w:val="24"/>
          <w:vertAlign w:val="superscript"/>
          <w:lang w:val="en-US" w:eastAsia="de-DE"/>
        </w:rPr>
        <w:t>)</w:t>
      </w:r>
      <w:r w:rsidR="0050247E" w:rsidRPr="00CF7035">
        <w:rPr>
          <w:rFonts w:ascii="Arial" w:eastAsia="Batang" w:hAnsi="Arial" w:cs="Arial"/>
          <w:color w:val="000000"/>
          <w:sz w:val="24"/>
          <w:szCs w:val="24"/>
          <w:lang w:val="en-US" w:eastAsia="de-DE"/>
        </w:rPr>
        <w:t>.</w:t>
      </w:r>
    </w:p>
    <w:p w:rsidR="008436D3" w:rsidRPr="00CF7035" w:rsidRDefault="008436D3" w:rsidP="00CF7035">
      <w:pPr>
        <w:tabs>
          <w:tab w:val="left" w:pos="340"/>
          <w:tab w:val="left" w:pos="680"/>
        </w:tabs>
        <w:spacing w:after="100" w:afterAutospacing="1"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 xml:space="preserve">Un elevado porcentaje de las personas que han padecido COVID refieren, tras la recuperación de la fase aguda de la enfermedad, una serie de manifestaciones clínicas tanto subjetivas como objetivas que se prolongan más allá de 3 semanas e incluso de 3 meses del cuadro clínico original </w:t>
      </w:r>
      <w:r w:rsidR="0050247E" w:rsidRPr="00CF7035">
        <w:rPr>
          <w:rFonts w:ascii="Arial" w:eastAsia="Batang" w:hAnsi="Arial" w:cs="Arial"/>
          <w:color w:val="000000"/>
          <w:sz w:val="24"/>
          <w:szCs w:val="24"/>
          <w:vertAlign w:val="superscript"/>
          <w:lang w:val="en-US" w:eastAsia="de-DE"/>
        </w:rPr>
        <w:t>(</w:t>
      </w:r>
      <w:r w:rsidRPr="00CF7035">
        <w:rPr>
          <w:rFonts w:ascii="Arial" w:eastAsia="Batang" w:hAnsi="Arial" w:cs="Arial"/>
          <w:color w:val="000000"/>
          <w:sz w:val="24"/>
          <w:szCs w:val="24"/>
          <w:vertAlign w:val="superscript"/>
          <w:lang w:val="en-US" w:eastAsia="de-DE"/>
        </w:rPr>
        <w:t>2</w:t>
      </w:r>
      <w:r w:rsidR="0050247E" w:rsidRPr="00CF7035">
        <w:rPr>
          <w:rFonts w:ascii="Arial" w:eastAsia="Batang" w:hAnsi="Arial" w:cs="Arial"/>
          <w:color w:val="000000"/>
          <w:sz w:val="24"/>
          <w:szCs w:val="24"/>
          <w:vertAlign w:val="superscript"/>
          <w:lang w:val="en-US" w:eastAsia="de-DE"/>
        </w:rPr>
        <w:t>)</w:t>
      </w:r>
      <w:r w:rsidRPr="00CF7035">
        <w:rPr>
          <w:rFonts w:ascii="Arial" w:eastAsia="Batang" w:hAnsi="Arial" w:cs="Arial"/>
          <w:color w:val="000000"/>
          <w:sz w:val="24"/>
          <w:szCs w:val="24"/>
          <w:lang w:val="en-US" w:eastAsia="de-DE"/>
        </w:rPr>
        <w:t>.</w:t>
      </w:r>
      <w:r w:rsidRPr="00CF7035">
        <w:rPr>
          <w:rFonts w:ascii="Arial" w:eastAsia="Batang" w:hAnsi="Arial" w:cs="Arial"/>
          <w:color w:val="000000"/>
          <w:sz w:val="24"/>
          <w:szCs w:val="24"/>
          <w:vertAlign w:val="superscript"/>
          <w:lang w:val="en-US" w:eastAsia="de-DE"/>
        </w:rPr>
        <w:t xml:space="preserve"> </w:t>
      </w:r>
      <w:r w:rsidRPr="00CF7035">
        <w:rPr>
          <w:rFonts w:ascii="Arial" w:eastAsia="Batang" w:hAnsi="Arial" w:cs="Arial"/>
          <w:color w:val="000000"/>
          <w:sz w:val="24"/>
          <w:szCs w:val="24"/>
          <w:lang w:val="en-US" w:eastAsia="de-DE"/>
        </w:rPr>
        <w:t xml:space="preserve">No existe todavía </w:t>
      </w:r>
      <w:proofErr w:type="gramStart"/>
      <w:r w:rsidRPr="00CF7035">
        <w:rPr>
          <w:rFonts w:ascii="Arial" w:eastAsia="Batang" w:hAnsi="Arial" w:cs="Arial"/>
          <w:color w:val="000000"/>
          <w:sz w:val="24"/>
          <w:szCs w:val="24"/>
          <w:lang w:val="en-US" w:eastAsia="de-DE"/>
        </w:rPr>
        <w:t>un</w:t>
      </w:r>
      <w:proofErr w:type="gramEnd"/>
      <w:r w:rsidRPr="00CF7035">
        <w:rPr>
          <w:rFonts w:ascii="Arial" w:eastAsia="Batang" w:hAnsi="Arial" w:cs="Arial"/>
          <w:color w:val="000000"/>
          <w:sz w:val="24"/>
          <w:szCs w:val="24"/>
          <w:lang w:val="en-US" w:eastAsia="de-DE"/>
        </w:rPr>
        <w:t xml:space="preserve"> consenso ni sobre la denominación de este cuadro, ni sobre sus criterios diagnósticos. Se han sugerido los términos COVID Post-agudo o prolongado, COVID crónico, COVID persistente, COVID de larga duración, pero quizá la más usada es la de síndrome post-COVID, entendiendo que lo sufren aquellos pacientes que mantienen síntomas o signos de enfermedad 3 semanas o 3 meses tras el comienzo del episodio agudo, respectivamente </w:t>
      </w:r>
      <w:r w:rsidR="0050247E" w:rsidRPr="00CF7035">
        <w:rPr>
          <w:rFonts w:ascii="Arial" w:eastAsia="Batang" w:hAnsi="Arial" w:cs="Arial"/>
          <w:color w:val="000000"/>
          <w:sz w:val="24"/>
          <w:szCs w:val="24"/>
          <w:vertAlign w:val="superscript"/>
          <w:lang w:val="en-US" w:eastAsia="de-DE"/>
        </w:rPr>
        <w:t>(</w:t>
      </w:r>
      <w:r w:rsidRPr="00CF7035">
        <w:rPr>
          <w:rFonts w:ascii="Arial" w:eastAsia="Batang" w:hAnsi="Arial" w:cs="Arial"/>
          <w:color w:val="000000"/>
          <w:sz w:val="24"/>
          <w:szCs w:val="24"/>
          <w:vertAlign w:val="superscript"/>
          <w:lang w:val="en-US" w:eastAsia="de-DE"/>
        </w:rPr>
        <w:t>3-5</w:t>
      </w:r>
      <w:r w:rsidR="0050247E" w:rsidRPr="00CF7035">
        <w:rPr>
          <w:rFonts w:ascii="Arial" w:eastAsia="Batang" w:hAnsi="Arial" w:cs="Arial"/>
          <w:color w:val="000000"/>
          <w:sz w:val="24"/>
          <w:szCs w:val="24"/>
          <w:vertAlign w:val="superscript"/>
          <w:lang w:val="en-US" w:eastAsia="de-DE"/>
        </w:rPr>
        <w:t>)</w:t>
      </w:r>
      <w:r w:rsidR="0050247E" w:rsidRPr="00CF7035">
        <w:rPr>
          <w:rFonts w:ascii="Arial" w:eastAsia="Batang" w:hAnsi="Arial" w:cs="Arial"/>
          <w:color w:val="000000"/>
          <w:sz w:val="24"/>
          <w:szCs w:val="24"/>
          <w:lang w:val="en-US" w:eastAsia="de-DE"/>
        </w:rPr>
        <w:t>.</w:t>
      </w:r>
    </w:p>
    <w:p w:rsidR="009B5AEE" w:rsidRPr="00CF7035" w:rsidRDefault="009B5AEE" w:rsidP="00CF7035">
      <w:pPr>
        <w:tabs>
          <w:tab w:val="left" w:pos="340"/>
          <w:tab w:val="left" w:pos="680"/>
        </w:tabs>
        <w:spacing w:after="100" w:afterAutospacing="1" w:line="360" w:lineRule="auto"/>
        <w:ind w:firstLine="227"/>
        <w:jc w:val="both"/>
        <w:rPr>
          <w:rFonts w:ascii="Arial" w:eastAsia="Batang" w:hAnsi="Arial" w:cs="Arial"/>
          <w:color w:val="000000"/>
          <w:sz w:val="24"/>
          <w:szCs w:val="24"/>
          <w:vertAlign w:val="superscript"/>
          <w:lang w:val="en-US" w:eastAsia="de-DE"/>
        </w:rPr>
      </w:pPr>
      <w:r w:rsidRPr="00CF7035">
        <w:rPr>
          <w:rFonts w:ascii="Arial" w:hAnsi="Arial" w:cs="Arial"/>
          <w:color w:val="000000"/>
          <w:sz w:val="24"/>
          <w:szCs w:val="24"/>
          <w:shd w:val="clear" w:color="auto" w:fill="FFFFFF"/>
        </w:rPr>
        <w:t>La discapacidad asociada a los síntomas del síndrome post-COVID-19 es una de sus principales características, por lo que el impacto que puede tener sobre las unidades asistenciales y de rehabilitación es consi</w:t>
      </w:r>
      <w:r w:rsidR="008048D5" w:rsidRPr="00CF7035">
        <w:rPr>
          <w:rFonts w:ascii="Arial" w:hAnsi="Arial" w:cs="Arial"/>
          <w:color w:val="000000"/>
          <w:sz w:val="24"/>
          <w:szCs w:val="24"/>
          <w:shd w:val="clear" w:color="auto" w:fill="FFFFFF"/>
        </w:rPr>
        <w:t>derable</w:t>
      </w:r>
      <w:r w:rsidR="0050247E" w:rsidRPr="00CF7035">
        <w:rPr>
          <w:rFonts w:ascii="Arial" w:hAnsi="Arial" w:cs="Arial"/>
          <w:color w:val="000000"/>
          <w:sz w:val="24"/>
          <w:szCs w:val="24"/>
          <w:shd w:val="clear" w:color="auto" w:fill="FFFFFF"/>
        </w:rPr>
        <w:t xml:space="preserve"> </w:t>
      </w:r>
      <w:r w:rsidR="0050247E" w:rsidRPr="00CF7035">
        <w:rPr>
          <w:rFonts w:ascii="Arial" w:hAnsi="Arial" w:cs="Arial"/>
          <w:color w:val="000000"/>
          <w:sz w:val="24"/>
          <w:szCs w:val="24"/>
          <w:shd w:val="clear" w:color="auto" w:fill="FFFFFF"/>
          <w:vertAlign w:val="superscript"/>
        </w:rPr>
        <w:t>(</w:t>
      </w:r>
      <w:r w:rsidR="008048D5" w:rsidRPr="00CF7035">
        <w:rPr>
          <w:rFonts w:ascii="Arial" w:hAnsi="Arial" w:cs="Arial"/>
          <w:color w:val="000000"/>
          <w:sz w:val="24"/>
          <w:szCs w:val="24"/>
          <w:shd w:val="clear" w:color="auto" w:fill="FFFFFF"/>
          <w:vertAlign w:val="superscript"/>
        </w:rPr>
        <w:t>6</w:t>
      </w:r>
      <w:r w:rsidR="0050247E" w:rsidRPr="00CF7035">
        <w:rPr>
          <w:rFonts w:ascii="Arial" w:hAnsi="Arial" w:cs="Arial"/>
          <w:color w:val="000000"/>
          <w:sz w:val="24"/>
          <w:szCs w:val="24"/>
          <w:shd w:val="clear" w:color="auto" w:fill="FFFFFF"/>
          <w:vertAlign w:val="superscript"/>
        </w:rPr>
        <w:t>)</w:t>
      </w:r>
      <w:r w:rsidRPr="00CF7035">
        <w:rPr>
          <w:rFonts w:ascii="Arial" w:hAnsi="Arial" w:cs="Arial"/>
          <w:color w:val="000000"/>
          <w:sz w:val="24"/>
          <w:szCs w:val="24"/>
          <w:shd w:val="clear" w:color="auto" w:fill="FFFFFF"/>
        </w:rPr>
        <w:t>. Los síntomas neurológicos crónicos y la fatiga asociados al síndrome post-COVID-19 difieren de las complicaciones neurológicas de la fase aguda. El impacto sobre la salud mental y la cognición</w:t>
      </w:r>
      <w:bookmarkStart w:id="0" w:name="ref_b06"/>
      <w:r w:rsidR="008048D5" w:rsidRPr="00CF7035">
        <w:rPr>
          <w:rFonts w:ascii="Arial" w:hAnsi="Arial" w:cs="Arial"/>
          <w:color w:val="000000"/>
          <w:sz w:val="24"/>
          <w:szCs w:val="24"/>
          <w:shd w:val="clear" w:color="auto" w:fill="FFFFFF"/>
        </w:rPr>
        <w:t xml:space="preserve"> es notable</w:t>
      </w:r>
      <w:r w:rsidR="008048D5" w:rsidRPr="00CF7035">
        <w:rPr>
          <w:rFonts w:ascii="Arial" w:hAnsi="Arial" w:cs="Arial"/>
          <w:color w:val="000000"/>
          <w:sz w:val="24"/>
          <w:szCs w:val="24"/>
          <w:shd w:val="clear" w:color="auto" w:fill="FFFFFF"/>
          <w:vertAlign w:val="superscript"/>
        </w:rPr>
        <w:t>7</w:t>
      </w:r>
      <w:r w:rsidRPr="00CF7035">
        <w:rPr>
          <w:rFonts w:ascii="Arial" w:hAnsi="Arial" w:cs="Arial"/>
          <w:color w:val="000000"/>
          <w:sz w:val="24"/>
          <w:szCs w:val="24"/>
          <w:shd w:val="clear" w:color="auto" w:fill="FFFFFF"/>
        </w:rPr>
        <w:t>, y al menos un 30% puede tener síntomas de ansiedad y/o depresión tras la recuperación de la fase aguda</w:t>
      </w:r>
      <w:bookmarkEnd w:id="0"/>
      <w:r w:rsidR="0050247E" w:rsidRPr="00CF7035">
        <w:rPr>
          <w:rFonts w:ascii="Arial" w:hAnsi="Arial" w:cs="Arial"/>
          <w:color w:val="000000"/>
          <w:sz w:val="24"/>
          <w:szCs w:val="24"/>
          <w:shd w:val="clear" w:color="auto" w:fill="FFFFFF"/>
        </w:rPr>
        <w:t xml:space="preserve"> </w:t>
      </w:r>
      <w:r w:rsidR="0050247E" w:rsidRPr="00CF7035">
        <w:rPr>
          <w:rFonts w:ascii="Arial" w:hAnsi="Arial" w:cs="Arial"/>
          <w:color w:val="000000"/>
          <w:sz w:val="24"/>
          <w:szCs w:val="24"/>
          <w:shd w:val="clear" w:color="auto" w:fill="FFFFFF"/>
          <w:vertAlign w:val="superscript"/>
        </w:rPr>
        <w:t>(</w:t>
      </w:r>
      <w:r w:rsidR="008048D5" w:rsidRPr="00CF7035">
        <w:rPr>
          <w:rFonts w:ascii="Arial" w:hAnsi="Arial" w:cs="Arial"/>
          <w:color w:val="000000"/>
          <w:sz w:val="24"/>
          <w:szCs w:val="24"/>
          <w:shd w:val="clear" w:color="auto" w:fill="FFFFFF"/>
          <w:vertAlign w:val="superscript"/>
        </w:rPr>
        <w:t>7,8</w:t>
      </w:r>
      <w:r w:rsidR="0050247E" w:rsidRPr="00CF7035">
        <w:rPr>
          <w:rFonts w:ascii="Arial" w:hAnsi="Arial" w:cs="Arial"/>
          <w:color w:val="000000"/>
          <w:sz w:val="24"/>
          <w:szCs w:val="24"/>
          <w:shd w:val="clear" w:color="auto" w:fill="FFFFFF"/>
          <w:vertAlign w:val="superscript"/>
        </w:rPr>
        <w:t>)</w:t>
      </w:r>
      <w:r w:rsidRPr="00CF7035">
        <w:rPr>
          <w:rFonts w:ascii="Arial" w:hAnsi="Arial" w:cs="Arial"/>
          <w:color w:val="000000"/>
          <w:sz w:val="24"/>
          <w:szCs w:val="24"/>
          <w:shd w:val="clear" w:color="auto" w:fill="FFFFFF"/>
        </w:rPr>
        <w:t>.</w:t>
      </w:r>
    </w:p>
    <w:p w:rsidR="009B5AEE" w:rsidRPr="00CF7035" w:rsidRDefault="009B5AEE" w:rsidP="00CF7035">
      <w:pPr>
        <w:tabs>
          <w:tab w:val="left" w:pos="340"/>
          <w:tab w:val="left" w:pos="680"/>
        </w:tabs>
        <w:spacing w:after="100" w:afterAutospacing="1" w:line="360" w:lineRule="auto"/>
        <w:ind w:firstLine="227"/>
        <w:jc w:val="both"/>
        <w:rPr>
          <w:rFonts w:ascii="Arial" w:eastAsia="Batang" w:hAnsi="Arial" w:cs="Arial"/>
          <w:color w:val="000000"/>
          <w:sz w:val="24"/>
          <w:szCs w:val="24"/>
          <w:vertAlign w:val="superscript"/>
          <w:lang w:val="en-US" w:eastAsia="de-DE"/>
        </w:rPr>
      </w:pPr>
      <w:r w:rsidRPr="00CF7035">
        <w:rPr>
          <w:rFonts w:ascii="Arial" w:hAnsi="Arial" w:cs="Arial"/>
          <w:color w:val="000000"/>
          <w:sz w:val="24"/>
          <w:szCs w:val="24"/>
          <w:shd w:val="clear" w:color="auto" w:fill="FFFFFF"/>
        </w:rPr>
        <w:lastRenderedPageBreak/>
        <w:t>Las manifestaciones psiquiátricas también persisten en la fase crónica. Una revisión sistemática y metaanálisis de las manifestaciones psiquiátricas asociadas a la enfermedad por SARS/MERS y SARS-CoV-2 concluye que el estrés postraumático es muy prevalente en la fase aguda (32%), seguido de los déficits de memoria (19%), la irritabilidad (12,8%), la ansiedad (12,3%), el insomnio (12%) y la depresión (19,5%). En la fase de convalecencia, el metaanálisis mostró que la prevalencia del trastorno por estrés postraumático era del 32,2%; de la depresión, del 14,9%; y de los tr</w:t>
      </w:r>
      <w:r w:rsidR="0050247E" w:rsidRPr="00CF7035">
        <w:rPr>
          <w:rFonts w:ascii="Arial" w:hAnsi="Arial" w:cs="Arial"/>
          <w:color w:val="000000"/>
          <w:sz w:val="24"/>
          <w:szCs w:val="24"/>
          <w:shd w:val="clear" w:color="auto" w:fill="FFFFFF"/>
        </w:rPr>
        <w:t xml:space="preserve">astornos de ansiedad, del 14,8% </w:t>
      </w:r>
      <w:r w:rsidR="0050247E" w:rsidRPr="00CF7035">
        <w:rPr>
          <w:rFonts w:ascii="Arial" w:hAnsi="Arial" w:cs="Arial"/>
          <w:color w:val="000000"/>
          <w:sz w:val="24"/>
          <w:szCs w:val="24"/>
          <w:shd w:val="clear" w:color="auto" w:fill="FFFFFF"/>
          <w:vertAlign w:val="superscript"/>
        </w:rPr>
        <w:t>(</w:t>
      </w:r>
      <w:r w:rsidR="008048D5" w:rsidRPr="00CF7035">
        <w:rPr>
          <w:rFonts w:ascii="Arial" w:hAnsi="Arial" w:cs="Arial"/>
          <w:color w:val="000000"/>
          <w:sz w:val="24"/>
          <w:szCs w:val="24"/>
          <w:shd w:val="clear" w:color="auto" w:fill="FFFFFF"/>
          <w:vertAlign w:val="superscript"/>
        </w:rPr>
        <w:t>9</w:t>
      </w:r>
      <w:r w:rsidR="0050247E" w:rsidRPr="00CF7035">
        <w:rPr>
          <w:rFonts w:ascii="Arial" w:hAnsi="Arial" w:cs="Arial"/>
          <w:color w:val="000000"/>
          <w:sz w:val="24"/>
          <w:szCs w:val="24"/>
          <w:shd w:val="clear" w:color="auto" w:fill="FFFFFF"/>
          <w:vertAlign w:val="superscript"/>
        </w:rPr>
        <w:t>)</w:t>
      </w:r>
    </w:p>
    <w:p w:rsidR="008436D3" w:rsidRPr="00CF7035" w:rsidRDefault="008436D3" w:rsidP="00CF7035">
      <w:pPr>
        <w:tabs>
          <w:tab w:val="left" w:pos="340"/>
          <w:tab w:val="left" w:pos="680"/>
        </w:tabs>
        <w:spacing w:after="100" w:afterAutospacing="1" w:line="360" w:lineRule="auto"/>
        <w:ind w:firstLine="227"/>
        <w:jc w:val="both"/>
        <w:rPr>
          <w:rFonts w:ascii="Arial" w:eastAsia="Batang" w:hAnsi="Arial" w:cs="Arial"/>
          <w:color w:val="000000"/>
          <w:sz w:val="24"/>
          <w:szCs w:val="24"/>
          <w:vertAlign w:val="superscript"/>
          <w:lang w:val="en-US" w:eastAsia="de-DE"/>
        </w:rPr>
      </w:pPr>
      <w:r w:rsidRPr="00CF7035">
        <w:rPr>
          <w:rFonts w:ascii="Arial" w:eastAsia="Batang" w:hAnsi="Arial" w:cs="Arial"/>
          <w:color w:val="000000"/>
          <w:sz w:val="24"/>
          <w:szCs w:val="24"/>
          <w:lang w:val="en-US" w:eastAsia="de-DE"/>
        </w:rPr>
        <w:t xml:space="preserve">. La condición post-COVID 19 es </w:t>
      </w:r>
      <w:proofErr w:type="gramStart"/>
      <w:r w:rsidRPr="00CF7035">
        <w:rPr>
          <w:rFonts w:ascii="Arial" w:eastAsia="Batang" w:hAnsi="Arial" w:cs="Arial"/>
          <w:color w:val="000000"/>
          <w:sz w:val="24"/>
          <w:szCs w:val="24"/>
          <w:lang w:val="en-US" w:eastAsia="de-DE"/>
        </w:rPr>
        <w:t>un</w:t>
      </w:r>
      <w:proofErr w:type="gramEnd"/>
      <w:r w:rsidRPr="00CF7035">
        <w:rPr>
          <w:rFonts w:ascii="Arial" w:eastAsia="Batang" w:hAnsi="Arial" w:cs="Arial"/>
          <w:color w:val="000000"/>
          <w:sz w:val="24"/>
          <w:szCs w:val="24"/>
          <w:lang w:val="en-US" w:eastAsia="de-DE"/>
        </w:rPr>
        <w:t xml:space="preserve"> nuevo desa</w:t>
      </w:r>
      <w:r w:rsidR="0050247E" w:rsidRPr="00CF7035">
        <w:rPr>
          <w:rFonts w:ascii="Arial" w:eastAsia="Batang" w:hAnsi="Arial" w:cs="Arial"/>
          <w:color w:val="000000"/>
          <w:sz w:val="24"/>
          <w:szCs w:val="24"/>
          <w:lang w:val="en-US" w:eastAsia="de-DE"/>
        </w:rPr>
        <w:t xml:space="preserve">fío, por un virus también nuevo </w:t>
      </w:r>
      <w:r w:rsidR="0050247E" w:rsidRPr="00CF7035">
        <w:rPr>
          <w:rFonts w:ascii="Arial" w:eastAsia="Batang" w:hAnsi="Arial" w:cs="Arial"/>
          <w:color w:val="000000"/>
          <w:sz w:val="24"/>
          <w:szCs w:val="24"/>
          <w:vertAlign w:val="superscript"/>
          <w:lang w:val="en-US" w:eastAsia="de-DE"/>
        </w:rPr>
        <w:t>(</w:t>
      </w:r>
      <w:r w:rsidRPr="00CF7035">
        <w:rPr>
          <w:rFonts w:ascii="Arial" w:eastAsia="Batang" w:hAnsi="Arial" w:cs="Arial"/>
          <w:color w:val="000000"/>
          <w:sz w:val="24"/>
          <w:szCs w:val="24"/>
          <w:vertAlign w:val="superscript"/>
          <w:lang w:val="en-US" w:eastAsia="de-DE"/>
        </w:rPr>
        <w:t>1</w:t>
      </w:r>
      <w:r w:rsidR="0050247E" w:rsidRPr="00CF7035">
        <w:rPr>
          <w:rFonts w:ascii="Arial" w:eastAsia="Batang" w:hAnsi="Arial" w:cs="Arial"/>
          <w:color w:val="000000"/>
          <w:sz w:val="24"/>
          <w:szCs w:val="24"/>
          <w:vertAlign w:val="superscript"/>
          <w:lang w:val="en-US" w:eastAsia="de-DE"/>
        </w:rPr>
        <w:t>)</w:t>
      </w:r>
      <w:r w:rsidR="0050247E" w:rsidRPr="00CF7035">
        <w:rPr>
          <w:rFonts w:ascii="Arial" w:eastAsia="Batang" w:hAnsi="Arial" w:cs="Arial"/>
          <w:color w:val="000000"/>
          <w:sz w:val="24"/>
          <w:szCs w:val="24"/>
          <w:lang w:val="en-US" w:eastAsia="de-DE"/>
        </w:rPr>
        <w:t>.</w:t>
      </w:r>
      <w:r w:rsidRPr="00CF7035">
        <w:rPr>
          <w:rFonts w:ascii="Arial" w:eastAsia="Batang" w:hAnsi="Arial" w:cs="Arial"/>
          <w:color w:val="000000"/>
          <w:sz w:val="24"/>
          <w:szCs w:val="24"/>
          <w:lang w:val="en-US" w:eastAsia="de-DE"/>
        </w:rPr>
        <w:t xml:space="preserve"> De aquí que una vez pasada la fase aguda de la actual pandemia, los profesionales de la salud deben planificar el seguimiento ambulatorio de los pacientes que han sobrevivido a esta infección, ya que el pulmón ha si</w:t>
      </w:r>
      <w:r w:rsidR="0050247E" w:rsidRPr="00CF7035">
        <w:rPr>
          <w:rFonts w:ascii="Arial" w:eastAsia="Batang" w:hAnsi="Arial" w:cs="Arial"/>
          <w:color w:val="000000"/>
          <w:sz w:val="24"/>
          <w:szCs w:val="24"/>
          <w:lang w:val="en-US" w:eastAsia="de-DE"/>
        </w:rPr>
        <w:t xml:space="preserve">do el principal órgano afectado </w:t>
      </w:r>
      <w:r w:rsidR="0050247E" w:rsidRPr="00CF7035">
        <w:rPr>
          <w:rFonts w:ascii="Arial" w:eastAsia="Batang" w:hAnsi="Arial" w:cs="Arial"/>
          <w:color w:val="000000"/>
          <w:sz w:val="24"/>
          <w:szCs w:val="24"/>
          <w:vertAlign w:val="superscript"/>
          <w:lang w:val="en-US" w:eastAsia="de-DE"/>
        </w:rPr>
        <w:t>(</w:t>
      </w:r>
      <w:r w:rsidR="008048D5" w:rsidRPr="00CF7035">
        <w:rPr>
          <w:rFonts w:ascii="Arial" w:eastAsia="Batang" w:hAnsi="Arial" w:cs="Arial"/>
          <w:color w:val="000000"/>
          <w:sz w:val="24"/>
          <w:szCs w:val="24"/>
          <w:vertAlign w:val="superscript"/>
          <w:lang w:val="en-US" w:eastAsia="de-DE"/>
        </w:rPr>
        <w:t>10</w:t>
      </w:r>
      <w:proofErr w:type="gramStart"/>
      <w:r w:rsidR="008048D5" w:rsidRPr="00CF7035">
        <w:rPr>
          <w:rFonts w:ascii="Arial" w:eastAsia="Batang" w:hAnsi="Arial" w:cs="Arial"/>
          <w:color w:val="000000"/>
          <w:sz w:val="24"/>
          <w:szCs w:val="24"/>
          <w:vertAlign w:val="superscript"/>
          <w:lang w:val="en-US" w:eastAsia="de-DE"/>
        </w:rPr>
        <w:t>,11</w:t>
      </w:r>
      <w:proofErr w:type="gramEnd"/>
      <w:r w:rsidR="0050247E" w:rsidRPr="00CF7035">
        <w:rPr>
          <w:rFonts w:ascii="Arial" w:eastAsia="Batang" w:hAnsi="Arial" w:cs="Arial"/>
          <w:color w:val="000000"/>
          <w:sz w:val="24"/>
          <w:szCs w:val="24"/>
          <w:vertAlign w:val="superscript"/>
          <w:lang w:val="en-US" w:eastAsia="de-DE"/>
        </w:rPr>
        <w:t>).</w:t>
      </w:r>
    </w:p>
    <w:p w:rsidR="008436D3" w:rsidRPr="00CF7035" w:rsidRDefault="008436D3" w:rsidP="00CF7035">
      <w:pPr>
        <w:spacing w:line="360" w:lineRule="auto"/>
        <w:jc w:val="both"/>
        <w:rPr>
          <w:rFonts w:ascii="Arial" w:hAnsi="Arial" w:cs="Arial"/>
          <w:sz w:val="24"/>
          <w:szCs w:val="24"/>
        </w:rPr>
      </w:pPr>
    </w:p>
    <w:p w:rsidR="008436D3" w:rsidRPr="00CF7035" w:rsidRDefault="008436D3" w:rsidP="00CF7035">
      <w:pPr>
        <w:spacing w:line="360" w:lineRule="auto"/>
        <w:jc w:val="both"/>
        <w:rPr>
          <w:rFonts w:ascii="Arial" w:hAnsi="Arial" w:cs="Arial"/>
          <w:sz w:val="24"/>
          <w:szCs w:val="24"/>
        </w:rPr>
      </w:pPr>
    </w:p>
    <w:p w:rsidR="008436D3" w:rsidRPr="00CF7035" w:rsidRDefault="008436D3" w:rsidP="00CF7035">
      <w:pPr>
        <w:keepNext/>
        <w:keepLines/>
        <w:tabs>
          <w:tab w:val="left" w:pos="340"/>
          <w:tab w:val="left" w:pos="680"/>
        </w:tabs>
        <w:suppressAutoHyphens/>
        <w:spacing w:before="400" w:after="200" w:line="360" w:lineRule="auto"/>
        <w:jc w:val="both"/>
        <w:outlineLvl w:val="0"/>
        <w:rPr>
          <w:rFonts w:ascii="Arial" w:eastAsia="Batang" w:hAnsi="Arial" w:cs="Arial"/>
          <w:bCs/>
          <w:caps/>
          <w:snapToGrid w:val="0"/>
          <w:kern w:val="32"/>
          <w:sz w:val="24"/>
          <w:szCs w:val="24"/>
          <w:lang w:val="es-VE"/>
        </w:rPr>
      </w:pPr>
      <w:r w:rsidRPr="00CF7035">
        <w:rPr>
          <w:rFonts w:ascii="Arial" w:eastAsia="Batang" w:hAnsi="Arial" w:cs="Arial"/>
          <w:bCs/>
          <w:caps/>
          <w:snapToGrid w:val="0"/>
          <w:kern w:val="32"/>
          <w:sz w:val="24"/>
          <w:szCs w:val="24"/>
          <w:lang w:val="es-VE"/>
        </w:rPr>
        <w:t>II.método</w:t>
      </w:r>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lang w:val="es-VE"/>
        </w:rPr>
      </w:pPr>
    </w:p>
    <w:p w:rsidR="008436D3" w:rsidRPr="00CF7035" w:rsidRDefault="008436D3" w:rsidP="00CF7035">
      <w:pPr>
        <w:tabs>
          <w:tab w:val="left" w:pos="340"/>
          <w:tab w:val="left" w:pos="680"/>
        </w:tabs>
        <w:spacing w:after="100" w:afterAutospacing="1"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Se realizó un estudio descriptivo de corte transversal en pacientes confirmados al SARS-COV-2 en la etapa post-COVID 19 pertenecientes al policlínico universitario “Hermanos Martínez Tamayo” en el periodo comprendido de octubre a noviembre de 2021</w:t>
      </w:r>
      <w:r w:rsidRPr="00CF7035">
        <w:rPr>
          <w:rFonts w:ascii="Arial" w:eastAsia="Batang" w:hAnsi="Arial" w:cs="Arial"/>
          <w:b/>
          <w:color w:val="000000"/>
          <w:sz w:val="24"/>
          <w:szCs w:val="24"/>
          <w:lang w:val="en-US" w:eastAsia="de-DE"/>
        </w:rPr>
        <w:t>.</w:t>
      </w:r>
      <w:r w:rsidRPr="00CF7035">
        <w:rPr>
          <w:rFonts w:ascii="Arial" w:eastAsia="Batang" w:hAnsi="Arial" w:cs="Arial"/>
          <w:color w:val="000000"/>
          <w:sz w:val="24"/>
          <w:szCs w:val="24"/>
          <w:lang w:val="en-US" w:eastAsia="de-DE"/>
        </w:rPr>
        <w:t>El universo de estudio estuvo constituido por los 400 pacientes que asistieron a la consulta de evaluación post-COVID y se trabajó con la totalidad de los mismos. Fueron incluidos todos los pacientes confirmados al SARS-COV-2.El criterio de exclusión estuvo dado por los pacientes a los cuales no se les pudo recoger todas las variables necesarias para la investigación.</w:t>
      </w:r>
      <w:r w:rsidR="008C3246" w:rsidRPr="00CF7035">
        <w:rPr>
          <w:rFonts w:ascii="Arial" w:eastAsia="Batang" w:hAnsi="Arial" w:cs="Arial"/>
          <w:color w:val="000000"/>
          <w:sz w:val="24"/>
          <w:szCs w:val="24"/>
          <w:lang w:val="en-US" w:eastAsia="de-DE"/>
        </w:rPr>
        <w:t xml:space="preserve"> </w:t>
      </w:r>
      <w:r w:rsidRPr="00CF7035">
        <w:rPr>
          <w:rFonts w:ascii="Arial" w:eastAsia="Batang" w:hAnsi="Arial" w:cs="Arial"/>
          <w:color w:val="000000"/>
          <w:sz w:val="24"/>
          <w:szCs w:val="24"/>
          <w:lang w:val="en-US" w:eastAsia="de-DE"/>
        </w:rPr>
        <w:t xml:space="preserve">La obtención de la información se realizó a través de las encuestas epidemiológicas realizadas a los pacientes y fue vaciada en una base de datos creada por los autores en el Microsoft Excel a través de </w:t>
      </w:r>
      <w:r w:rsidRPr="00CF7035">
        <w:rPr>
          <w:rFonts w:ascii="Arial" w:eastAsia="Times New Roman" w:hAnsi="Arial" w:cs="Arial"/>
          <w:color w:val="000000"/>
          <w:sz w:val="24"/>
          <w:szCs w:val="24"/>
          <w:lang w:val="en-US" w:eastAsia="de-DE"/>
        </w:rPr>
        <w:t>una computadora con ambiente de Windows 10</w:t>
      </w:r>
      <w:r w:rsidRPr="00CF7035">
        <w:rPr>
          <w:rFonts w:ascii="Arial" w:eastAsia="Batang" w:hAnsi="Arial" w:cs="Arial"/>
          <w:color w:val="000000"/>
          <w:sz w:val="24"/>
          <w:szCs w:val="24"/>
          <w:lang w:val="en-US" w:eastAsia="de-DE"/>
        </w:rPr>
        <w:t>.Se procedió a extraer los siguientes variables: edad, sexo, síntomas como: ansiedad depresión insomnio, y disminución de la capacidad laboral.</w:t>
      </w:r>
      <w:r w:rsidR="008C3246" w:rsidRPr="00CF7035">
        <w:rPr>
          <w:rFonts w:ascii="Arial" w:eastAsia="Batang" w:hAnsi="Arial" w:cs="Arial"/>
          <w:color w:val="000000"/>
          <w:sz w:val="24"/>
          <w:szCs w:val="24"/>
          <w:lang w:val="en-US" w:eastAsia="de-DE"/>
        </w:rPr>
        <w:t xml:space="preserve"> </w:t>
      </w:r>
      <w:r w:rsidRPr="00CF7035">
        <w:rPr>
          <w:rFonts w:ascii="Arial" w:eastAsia="Batang" w:hAnsi="Arial" w:cs="Arial"/>
          <w:color w:val="000000"/>
          <w:sz w:val="24"/>
          <w:szCs w:val="24"/>
          <w:lang w:val="en-US" w:eastAsia="de-DE"/>
        </w:rPr>
        <w:t xml:space="preserve">Para el análisis estadístico se utilizó el programa estadístico informático SPSS versión 21.0. Se utilizó la estadística descriptiva a través de frecuencias absolutas y relativas porcentuales; así </w:t>
      </w:r>
      <w:proofErr w:type="gramStart"/>
      <w:r w:rsidRPr="00CF7035">
        <w:rPr>
          <w:rFonts w:ascii="Arial" w:eastAsia="Batang" w:hAnsi="Arial" w:cs="Arial"/>
          <w:color w:val="000000"/>
          <w:sz w:val="24"/>
          <w:szCs w:val="24"/>
          <w:lang w:val="en-US" w:eastAsia="de-DE"/>
        </w:rPr>
        <w:t>como</w:t>
      </w:r>
      <w:proofErr w:type="gramEnd"/>
      <w:r w:rsidRPr="00CF7035">
        <w:rPr>
          <w:rFonts w:ascii="Arial" w:eastAsia="Batang" w:hAnsi="Arial" w:cs="Arial"/>
          <w:color w:val="000000"/>
          <w:sz w:val="24"/>
          <w:szCs w:val="24"/>
          <w:lang w:val="en-US" w:eastAsia="de-DE"/>
        </w:rPr>
        <w:t xml:space="preserve"> la media aritmética y desviación estándar para variables cuantitativas.</w:t>
      </w:r>
      <w:r w:rsidR="008C3246" w:rsidRPr="00CF7035">
        <w:rPr>
          <w:rFonts w:ascii="Arial" w:eastAsia="Batang" w:hAnsi="Arial" w:cs="Arial"/>
          <w:color w:val="000000"/>
          <w:sz w:val="24"/>
          <w:szCs w:val="24"/>
          <w:lang w:val="en-US" w:eastAsia="de-DE"/>
        </w:rPr>
        <w:t xml:space="preserve"> </w:t>
      </w:r>
      <w:r w:rsidRPr="00CF7035">
        <w:rPr>
          <w:rFonts w:ascii="Arial" w:eastAsia="Batang" w:hAnsi="Arial" w:cs="Arial"/>
          <w:color w:val="000000"/>
          <w:sz w:val="24"/>
          <w:szCs w:val="24"/>
          <w:lang w:val="en-US" w:eastAsia="de-DE"/>
        </w:rPr>
        <w:lastRenderedPageBreak/>
        <w:t xml:space="preserve">Durante la ejecución </w:t>
      </w:r>
      <w:proofErr w:type="gramStart"/>
      <w:r w:rsidRPr="00CF7035">
        <w:rPr>
          <w:rFonts w:ascii="Arial" w:eastAsia="Batang" w:hAnsi="Arial" w:cs="Arial"/>
          <w:color w:val="000000"/>
          <w:sz w:val="24"/>
          <w:szCs w:val="24"/>
          <w:lang w:val="en-US" w:eastAsia="de-DE"/>
        </w:rPr>
        <w:t>del</w:t>
      </w:r>
      <w:proofErr w:type="gramEnd"/>
      <w:r w:rsidRPr="00CF7035">
        <w:rPr>
          <w:rFonts w:ascii="Arial" w:eastAsia="Batang" w:hAnsi="Arial" w:cs="Arial"/>
          <w:color w:val="000000"/>
          <w:sz w:val="24"/>
          <w:szCs w:val="24"/>
          <w:lang w:val="en-US" w:eastAsia="de-DE"/>
        </w:rPr>
        <w:t xml:space="preserve"> estudio se cumplieron los principios básicos plasmados en la II Declaración de Helsinki. Tanto el procesamiento </w:t>
      </w:r>
      <w:proofErr w:type="gramStart"/>
      <w:r w:rsidRPr="00CF7035">
        <w:rPr>
          <w:rFonts w:ascii="Arial" w:eastAsia="Batang" w:hAnsi="Arial" w:cs="Arial"/>
          <w:color w:val="000000"/>
          <w:sz w:val="24"/>
          <w:szCs w:val="24"/>
          <w:lang w:val="en-US" w:eastAsia="de-DE"/>
        </w:rPr>
        <w:t>como</w:t>
      </w:r>
      <w:proofErr w:type="gramEnd"/>
      <w:r w:rsidRPr="00CF7035">
        <w:rPr>
          <w:rFonts w:ascii="Arial" w:eastAsia="Batang" w:hAnsi="Arial" w:cs="Arial"/>
          <w:color w:val="000000"/>
          <w:sz w:val="24"/>
          <w:szCs w:val="24"/>
          <w:lang w:val="en-US" w:eastAsia="de-DE"/>
        </w:rPr>
        <w:t xml:space="preserve"> el análisis de datos mantuvieron la reserva y la confidencialidad del caso.</w:t>
      </w:r>
    </w:p>
    <w:p w:rsidR="008436D3" w:rsidRPr="00CF7035" w:rsidRDefault="008436D3" w:rsidP="00CF7035">
      <w:pPr>
        <w:tabs>
          <w:tab w:val="left" w:pos="340"/>
          <w:tab w:val="left" w:pos="680"/>
        </w:tabs>
        <w:spacing w:after="0" w:line="360" w:lineRule="auto"/>
        <w:ind w:firstLine="227"/>
        <w:jc w:val="both"/>
        <w:rPr>
          <w:rFonts w:ascii="Arial" w:eastAsia="Batang" w:hAnsi="Arial" w:cs="Arial"/>
          <w:color w:val="000000"/>
          <w:sz w:val="24"/>
          <w:szCs w:val="24"/>
          <w:lang w:val="en-US" w:eastAsia="de-DE"/>
        </w:rPr>
      </w:pPr>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lang w:val="es-VE"/>
        </w:rPr>
      </w:pPr>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lang w:val="es-VE"/>
        </w:rPr>
      </w:pPr>
    </w:p>
    <w:p w:rsidR="008436D3" w:rsidRPr="00CF7035" w:rsidRDefault="008436D3" w:rsidP="00CF7035">
      <w:pPr>
        <w:keepNext/>
        <w:keepLines/>
        <w:numPr>
          <w:ilvl w:val="0"/>
          <w:numId w:val="1"/>
        </w:numPr>
        <w:tabs>
          <w:tab w:val="left" w:pos="340"/>
          <w:tab w:val="left" w:pos="680"/>
        </w:tabs>
        <w:suppressAutoHyphens/>
        <w:spacing w:before="400" w:after="200" w:line="360" w:lineRule="auto"/>
        <w:jc w:val="both"/>
        <w:outlineLvl w:val="0"/>
        <w:rPr>
          <w:rFonts w:ascii="Arial" w:eastAsia="Batang" w:hAnsi="Arial" w:cs="Arial"/>
          <w:bCs/>
          <w:caps/>
          <w:snapToGrid w:val="0"/>
          <w:kern w:val="32"/>
          <w:sz w:val="24"/>
          <w:szCs w:val="24"/>
          <w:lang w:val="en-US"/>
        </w:rPr>
      </w:pPr>
      <w:r w:rsidRPr="00CF7035">
        <w:rPr>
          <w:rFonts w:ascii="Arial" w:eastAsia="Batang" w:hAnsi="Arial" w:cs="Arial"/>
          <w:bCs/>
          <w:caps/>
          <w:snapToGrid w:val="0"/>
          <w:kern w:val="32"/>
          <w:sz w:val="24"/>
          <w:szCs w:val="24"/>
          <w:lang w:val="en-US"/>
        </w:rPr>
        <w:t>Resultados</w:t>
      </w:r>
    </w:p>
    <w:p w:rsidR="008436D3" w:rsidRPr="00CF7035" w:rsidRDefault="008436D3" w:rsidP="00CF7035">
      <w:pPr>
        <w:tabs>
          <w:tab w:val="left" w:pos="340"/>
          <w:tab w:val="left" w:pos="680"/>
        </w:tabs>
        <w:spacing w:after="0" w:line="360" w:lineRule="auto"/>
        <w:ind w:firstLine="227"/>
        <w:jc w:val="both"/>
        <w:rPr>
          <w:rFonts w:ascii="Arial" w:eastAsia="Times New Roman" w:hAnsi="Arial" w:cs="Arial"/>
          <w:color w:val="000000"/>
          <w:sz w:val="24"/>
          <w:szCs w:val="24"/>
          <w:lang w:val="en-US" w:eastAsia="es-ES"/>
        </w:rPr>
      </w:pPr>
      <w:r w:rsidRPr="00CF7035">
        <w:rPr>
          <w:rFonts w:ascii="Arial" w:eastAsia="Batang" w:hAnsi="Arial" w:cs="Arial"/>
          <w:b/>
          <w:color w:val="000000"/>
          <w:sz w:val="24"/>
          <w:szCs w:val="24"/>
          <w:lang w:val="en-US" w:eastAsia="de-DE"/>
        </w:rPr>
        <w:t xml:space="preserve">  </w:t>
      </w:r>
      <w:r w:rsidRPr="00CF7035">
        <w:rPr>
          <w:rFonts w:ascii="Arial" w:eastAsia="Times New Roman" w:hAnsi="Arial" w:cs="Arial"/>
          <w:color w:val="000000"/>
          <w:sz w:val="24"/>
          <w:szCs w:val="24"/>
          <w:lang w:val="en-US" w:eastAsia="es-ES"/>
        </w:rPr>
        <w:t xml:space="preserve">A través de la tabla 1 se evidencia que en la consulta post-COVID </w:t>
      </w:r>
      <w:proofErr w:type="gramStart"/>
      <w:r w:rsidRPr="00CF7035">
        <w:rPr>
          <w:rFonts w:ascii="Arial" w:eastAsia="Times New Roman" w:hAnsi="Arial" w:cs="Arial"/>
          <w:color w:val="000000"/>
          <w:sz w:val="24"/>
          <w:szCs w:val="24"/>
          <w:lang w:val="en-US" w:eastAsia="es-ES"/>
        </w:rPr>
        <w:t>del</w:t>
      </w:r>
      <w:proofErr w:type="gramEnd"/>
      <w:r w:rsidRPr="00CF7035">
        <w:rPr>
          <w:rFonts w:ascii="Arial" w:eastAsia="Times New Roman" w:hAnsi="Arial" w:cs="Arial"/>
          <w:color w:val="000000"/>
          <w:sz w:val="24"/>
          <w:szCs w:val="24"/>
          <w:lang w:val="en-US" w:eastAsia="es-ES"/>
        </w:rPr>
        <w:t xml:space="preserve"> Policlínico Docente “Hermanos Martínez Tamayo” predominaron las pacientes del sexo femenino en un 63 % del total de casos registrados en el período de estudio. Presentado mayor demanda asistencial las pacientes comprendidas entre los 50 y 59 años de edad, representando el 18,0 % del total de mujeres.</w:t>
      </w:r>
      <w:r w:rsidR="0058102B" w:rsidRPr="00CF7035">
        <w:rPr>
          <w:rFonts w:ascii="Arial" w:hAnsi="Arial" w:cs="Arial"/>
          <w:color w:val="000000"/>
          <w:sz w:val="24"/>
          <w:szCs w:val="24"/>
        </w:rPr>
        <w:t xml:space="preserve"> Todos estos resultados coinciden con la pirámide sociodemográfica cubana actual.</w:t>
      </w:r>
    </w:p>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Tabla 1.Distribución de pacientes según grupo de edad y sexo.</w:t>
      </w:r>
    </w:p>
    <w:tbl>
      <w:tblPr>
        <w:tblW w:w="9087" w:type="dxa"/>
        <w:jc w:val="center"/>
        <w:tblLook w:val="01E0" w:firstRow="1" w:lastRow="1" w:firstColumn="1" w:lastColumn="1" w:noHBand="0" w:noVBand="0"/>
      </w:tblPr>
      <w:tblGrid>
        <w:gridCol w:w="1811"/>
        <w:gridCol w:w="1217"/>
        <w:gridCol w:w="1212"/>
        <w:gridCol w:w="1216"/>
        <w:gridCol w:w="1212"/>
        <w:gridCol w:w="1212"/>
        <w:gridCol w:w="1207"/>
      </w:tblGrid>
      <w:tr w:rsidR="008436D3" w:rsidRPr="00CF7035" w:rsidTr="008436D3">
        <w:trPr>
          <w:jc w:val="center"/>
        </w:trPr>
        <w:tc>
          <w:tcPr>
            <w:tcW w:w="1811" w:type="dxa"/>
            <w:vMerge w:val="restart"/>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p>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Grupo de edad</w:t>
            </w:r>
          </w:p>
        </w:tc>
        <w:tc>
          <w:tcPr>
            <w:tcW w:w="4857" w:type="dxa"/>
            <w:gridSpan w:val="4"/>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Sexo</w:t>
            </w:r>
          </w:p>
        </w:tc>
        <w:tc>
          <w:tcPr>
            <w:tcW w:w="2419" w:type="dxa"/>
            <w:gridSpan w:val="2"/>
            <w:vMerge w:val="restart"/>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Total</w:t>
            </w:r>
          </w:p>
        </w:tc>
      </w:tr>
      <w:tr w:rsidR="008436D3" w:rsidRPr="00CF7035" w:rsidTr="008436D3">
        <w:trPr>
          <w:jc w:val="center"/>
        </w:trPr>
        <w:tc>
          <w:tcPr>
            <w:tcW w:w="1811" w:type="dxa"/>
            <w:vMerge/>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p>
        </w:tc>
        <w:tc>
          <w:tcPr>
            <w:tcW w:w="2429" w:type="dxa"/>
            <w:gridSpan w:val="2"/>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Masculino</w:t>
            </w:r>
          </w:p>
        </w:tc>
        <w:tc>
          <w:tcPr>
            <w:tcW w:w="2428" w:type="dxa"/>
            <w:gridSpan w:val="2"/>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Femenino</w:t>
            </w:r>
          </w:p>
        </w:tc>
        <w:tc>
          <w:tcPr>
            <w:tcW w:w="2419" w:type="dxa"/>
            <w:gridSpan w:val="2"/>
            <w:vMerge/>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p>
        </w:tc>
      </w:tr>
      <w:tr w:rsidR="008436D3" w:rsidRPr="00CF7035" w:rsidTr="008436D3">
        <w:trPr>
          <w:jc w:val="center"/>
        </w:trPr>
        <w:tc>
          <w:tcPr>
            <w:tcW w:w="1811" w:type="dxa"/>
            <w:vMerge/>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p>
        </w:tc>
        <w:tc>
          <w:tcPr>
            <w:tcW w:w="1217"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No.</w:t>
            </w:r>
          </w:p>
        </w:tc>
        <w:tc>
          <w:tcPr>
            <w:tcW w:w="1212"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w:t>
            </w:r>
          </w:p>
        </w:tc>
        <w:tc>
          <w:tcPr>
            <w:tcW w:w="1216"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No.</w:t>
            </w:r>
          </w:p>
        </w:tc>
        <w:tc>
          <w:tcPr>
            <w:tcW w:w="1212"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w:t>
            </w:r>
          </w:p>
        </w:tc>
        <w:tc>
          <w:tcPr>
            <w:tcW w:w="1212"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No.</w:t>
            </w:r>
          </w:p>
        </w:tc>
        <w:tc>
          <w:tcPr>
            <w:tcW w:w="1207"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w:t>
            </w:r>
          </w:p>
        </w:tc>
      </w:tr>
      <w:tr w:rsidR="008436D3" w:rsidRPr="00CF7035" w:rsidTr="008436D3">
        <w:trPr>
          <w:trHeight w:val="375"/>
          <w:jc w:val="center"/>
        </w:trPr>
        <w:tc>
          <w:tcPr>
            <w:tcW w:w="1811" w:type="dxa"/>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&lt; 20</w:t>
            </w:r>
          </w:p>
        </w:tc>
        <w:tc>
          <w:tcPr>
            <w:tcW w:w="1217" w:type="dxa"/>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9</w:t>
            </w:r>
          </w:p>
        </w:tc>
        <w:tc>
          <w:tcPr>
            <w:tcW w:w="1212" w:type="dxa"/>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2,2</w:t>
            </w:r>
          </w:p>
        </w:tc>
        <w:tc>
          <w:tcPr>
            <w:tcW w:w="1216" w:type="dxa"/>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15</w:t>
            </w:r>
          </w:p>
        </w:tc>
        <w:tc>
          <w:tcPr>
            <w:tcW w:w="1212" w:type="dxa"/>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3,8</w:t>
            </w:r>
          </w:p>
        </w:tc>
        <w:tc>
          <w:tcPr>
            <w:tcW w:w="1212" w:type="dxa"/>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24</w:t>
            </w:r>
          </w:p>
        </w:tc>
        <w:tc>
          <w:tcPr>
            <w:tcW w:w="1207" w:type="dxa"/>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6,0</w:t>
            </w:r>
          </w:p>
        </w:tc>
      </w:tr>
      <w:tr w:rsidR="008436D3" w:rsidRPr="00CF7035" w:rsidTr="008436D3">
        <w:trPr>
          <w:trHeight w:val="375"/>
          <w:jc w:val="center"/>
        </w:trPr>
        <w:tc>
          <w:tcPr>
            <w:tcW w:w="1811"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20-29</w:t>
            </w:r>
          </w:p>
        </w:tc>
        <w:tc>
          <w:tcPr>
            <w:tcW w:w="121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14</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3,5</w:t>
            </w:r>
          </w:p>
        </w:tc>
        <w:tc>
          <w:tcPr>
            <w:tcW w:w="121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26</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6,5</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40</w:t>
            </w:r>
          </w:p>
        </w:tc>
        <w:tc>
          <w:tcPr>
            <w:tcW w:w="120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10,0</w:t>
            </w:r>
          </w:p>
        </w:tc>
      </w:tr>
      <w:tr w:rsidR="008436D3" w:rsidRPr="00CF7035" w:rsidTr="008436D3">
        <w:trPr>
          <w:trHeight w:val="375"/>
          <w:jc w:val="center"/>
        </w:trPr>
        <w:tc>
          <w:tcPr>
            <w:tcW w:w="1811"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30-39</w:t>
            </w:r>
          </w:p>
        </w:tc>
        <w:tc>
          <w:tcPr>
            <w:tcW w:w="121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28</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7,0</w:t>
            </w:r>
          </w:p>
        </w:tc>
        <w:tc>
          <w:tcPr>
            <w:tcW w:w="121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37</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9,2</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65</w:t>
            </w:r>
          </w:p>
        </w:tc>
        <w:tc>
          <w:tcPr>
            <w:tcW w:w="120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16,2</w:t>
            </w:r>
          </w:p>
        </w:tc>
      </w:tr>
      <w:tr w:rsidR="008436D3" w:rsidRPr="00CF7035" w:rsidTr="008436D3">
        <w:trPr>
          <w:trHeight w:val="375"/>
          <w:jc w:val="center"/>
        </w:trPr>
        <w:tc>
          <w:tcPr>
            <w:tcW w:w="1811"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40-49</w:t>
            </w:r>
          </w:p>
        </w:tc>
        <w:tc>
          <w:tcPr>
            <w:tcW w:w="121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24</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6,0</w:t>
            </w:r>
          </w:p>
        </w:tc>
        <w:tc>
          <w:tcPr>
            <w:tcW w:w="121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48</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12,0</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72</w:t>
            </w:r>
          </w:p>
        </w:tc>
        <w:tc>
          <w:tcPr>
            <w:tcW w:w="120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18,0</w:t>
            </w:r>
          </w:p>
        </w:tc>
      </w:tr>
      <w:tr w:rsidR="008436D3" w:rsidRPr="00CF7035" w:rsidTr="008436D3">
        <w:trPr>
          <w:trHeight w:val="375"/>
          <w:jc w:val="center"/>
        </w:trPr>
        <w:tc>
          <w:tcPr>
            <w:tcW w:w="1811"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50-59</w:t>
            </w:r>
          </w:p>
        </w:tc>
        <w:tc>
          <w:tcPr>
            <w:tcW w:w="121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39</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9,7</w:t>
            </w:r>
          </w:p>
        </w:tc>
        <w:tc>
          <w:tcPr>
            <w:tcW w:w="121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72</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18,0</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111</w:t>
            </w:r>
          </w:p>
        </w:tc>
        <w:tc>
          <w:tcPr>
            <w:tcW w:w="120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27,7</w:t>
            </w:r>
          </w:p>
        </w:tc>
      </w:tr>
      <w:tr w:rsidR="008436D3" w:rsidRPr="00CF7035" w:rsidTr="008436D3">
        <w:trPr>
          <w:trHeight w:val="375"/>
          <w:jc w:val="center"/>
        </w:trPr>
        <w:tc>
          <w:tcPr>
            <w:tcW w:w="1811"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60-69</w:t>
            </w:r>
          </w:p>
        </w:tc>
        <w:tc>
          <w:tcPr>
            <w:tcW w:w="121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25</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6,3</w:t>
            </w:r>
          </w:p>
        </w:tc>
        <w:tc>
          <w:tcPr>
            <w:tcW w:w="121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31</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7,7</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56</w:t>
            </w:r>
          </w:p>
        </w:tc>
        <w:tc>
          <w:tcPr>
            <w:tcW w:w="120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14,0</w:t>
            </w:r>
          </w:p>
        </w:tc>
      </w:tr>
      <w:tr w:rsidR="008436D3" w:rsidRPr="00CF7035" w:rsidTr="008436D3">
        <w:trPr>
          <w:trHeight w:val="375"/>
          <w:jc w:val="center"/>
        </w:trPr>
        <w:tc>
          <w:tcPr>
            <w:tcW w:w="1811"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70-79</w:t>
            </w:r>
          </w:p>
        </w:tc>
        <w:tc>
          <w:tcPr>
            <w:tcW w:w="121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7</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1,8</w:t>
            </w:r>
          </w:p>
        </w:tc>
        <w:tc>
          <w:tcPr>
            <w:tcW w:w="121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18</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4,5</w:t>
            </w:r>
          </w:p>
        </w:tc>
        <w:tc>
          <w:tcPr>
            <w:tcW w:w="1212"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25</w:t>
            </w:r>
          </w:p>
        </w:tc>
        <w:tc>
          <w:tcPr>
            <w:tcW w:w="1207"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6,3</w:t>
            </w:r>
          </w:p>
        </w:tc>
      </w:tr>
      <w:tr w:rsidR="008436D3" w:rsidRPr="00CF7035" w:rsidTr="008436D3">
        <w:trPr>
          <w:trHeight w:val="375"/>
          <w:jc w:val="center"/>
        </w:trPr>
        <w:tc>
          <w:tcPr>
            <w:tcW w:w="1811" w:type="dxa"/>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80 y más</w:t>
            </w:r>
          </w:p>
        </w:tc>
        <w:tc>
          <w:tcPr>
            <w:tcW w:w="1217" w:type="dxa"/>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2</w:t>
            </w:r>
          </w:p>
        </w:tc>
        <w:tc>
          <w:tcPr>
            <w:tcW w:w="1212" w:type="dxa"/>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0,5</w:t>
            </w:r>
          </w:p>
        </w:tc>
        <w:tc>
          <w:tcPr>
            <w:tcW w:w="1216" w:type="dxa"/>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5</w:t>
            </w:r>
          </w:p>
        </w:tc>
        <w:tc>
          <w:tcPr>
            <w:tcW w:w="1212" w:type="dxa"/>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1,3</w:t>
            </w:r>
          </w:p>
        </w:tc>
        <w:tc>
          <w:tcPr>
            <w:tcW w:w="1212" w:type="dxa"/>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7</w:t>
            </w:r>
          </w:p>
        </w:tc>
        <w:tc>
          <w:tcPr>
            <w:tcW w:w="1207" w:type="dxa"/>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1,8</w:t>
            </w:r>
          </w:p>
        </w:tc>
      </w:tr>
      <w:tr w:rsidR="008436D3" w:rsidRPr="00CF7035" w:rsidTr="008436D3">
        <w:trPr>
          <w:jc w:val="center"/>
        </w:trPr>
        <w:tc>
          <w:tcPr>
            <w:tcW w:w="1811"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Total</w:t>
            </w:r>
          </w:p>
        </w:tc>
        <w:tc>
          <w:tcPr>
            <w:tcW w:w="1217"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sz w:val="24"/>
                <w:szCs w:val="24"/>
                <w:lang w:val="en-US" w:eastAsia="de-DE"/>
              </w:rPr>
            </w:pPr>
            <w:r w:rsidRPr="00CF7035">
              <w:rPr>
                <w:rFonts w:ascii="Arial" w:eastAsia="Batang" w:hAnsi="Arial" w:cs="Arial"/>
                <w:b/>
                <w:sz w:val="24"/>
                <w:szCs w:val="24"/>
                <w:lang w:val="en-US" w:eastAsia="de-DE"/>
              </w:rPr>
              <w:t>148</w:t>
            </w:r>
          </w:p>
        </w:tc>
        <w:tc>
          <w:tcPr>
            <w:tcW w:w="1212"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sz w:val="24"/>
                <w:szCs w:val="24"/>
                <w:lang w:val="en-US" w:eastAsia="de-DE"/>
              </w:rPr>
            </w:pPr>
            <w:r w:rsidRPr="00CF7035">
              <w:rPr>
                <w:rFonts w:ascii="Arial" w:eastAsia="Batang" w:hAnsi="Arial" w:cs="Arial"/>
                <w:b/>
                <w:sz w:val="24"/>
                <w:szCs w:val="24"/>
                <w:lang w:val="en-US" w:eastAsia="de-DE"/>
              </w:rPr>
              <w:t>37,0</w:t>
            </w:r>
          </w:p>
        </w:tc>
        <w:tc>
          <w:tcPr>
            <w:tcW w:w="1216"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sz w:val="24"/>
                <w:szCs w:val="24"/>
                <w:lang w:val="en-US" w:eastAsia="de-DE"/>
              </w:rPr>
            </w:pPr>
            <w:r w:rsidRPr="00CF7035">
              <w:rPr>
                <w:rFonts w:ascii="Arial" w:eastAsia="Batang" w:hAnsi="Arial" w:cs="Arial"/>
                <w:b/>
                <w:sz w:val="24"/>
                <w:szCs w:val="24"/>
                <w:lang w:val="en-US" w:eastAsia="de-DE"/>
              </w:rPr>
              <w:t>252</w:t>
            </w:r>
          </w:p>
        </w:tc>
        <w:tc>
          <w:tcPr>
            <w:tcW w:w="1212"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sz w:val="24"/>
                <w:szCs w:val="24"/>
                <w:lang w:val="en-US" w:eastAsia="de-DE"/>
              </w:rPr>
            </w:pPr>
            <w:r w:rsidRPr="00CF7035">
              <w:rPr>
                <w:rFonts w:ascii="Arial" w:eastAsia="Batang" w:hAnsi="Arial" w:cs="Arial"/>
                <w:b/>
                <w:sz w:val="24"/>
                <w:szCs w:val="24"/>
                <w:lang w:val="en-US" w:eastAsia="de-DE"/>
              </w:rPr>
              <w:t>63,0</w:t>
            </w:r>
          </w:p>
        </w:tc>
        <w:tc>
          <w:tcPr>
            <w:tcW w:w="1212"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sz w:val="24"/>
                <w:szCs w:val="24"/>
                <w:lang w:val="en-US" w:eastAsia="de-DE"/>
              </w:rPr>
            </w:pPr>
            <w:r w:rsidRPr="00CF7035">
              <w:rPr>
                <w:rFonts w:ascii="Arial" w:eastAsia="Batang" w:hAnsi="Arial" w:cs="Arial"/>
                <w:b/>
                <w:sz w:val="24"/>
                <w:szCs w:val="24"/>
                <w:lang w:val="en-US" w:eastAsia="de-DE"/>
              </w:rPr>
              <w:t>400</w:t>
            </w:r>
          </w:p>
        </w:tc>
        <w:tc>
          <w:tcPr>
            <w:tcW w:w="1207" w:type="dxa"/>
            <w:tcBorders>
              <w:top w:val="single" w:sz="4" w:space="0" w:color="auto"/>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b/>
                <w:sz w:val="24"/>
                <w:szCs w:val="24"/>
                <w:lang w:val="en-US" w:eastAsia="de-DE"/>
              </w:rPr>
            </w:pPr>
            <w:r w:rsidRPr="00CF7035">
              <w:rPr>
                <w:rFonts w:ascii="Arial" w:eastAsia="Batang" w:hAnsi="Arial" w:cs="Arial"/>
                <w:b/>
                <w:sz w:val="24"/>
                <w:szCs w:val="24"/>
                <w:lang w:val="en-US" w:eastAsia="de-DE"/>
              </w:rPr>
              <w:t>100</w:t>
            </w:r>
          </w:p>
        </w:tc>
      </w:tr>
    </w:tbl>
    <w:p w:rsidR="008436D3" w:rsidRPr="00CF7035" w:rsidRDefault="008436D3" w:rsidP="00CF7035">
      <w:pPr>
        <w:tabs>
          <w:tab w:val="left" w:pos="340"/>
          <w:tab w:val="left" w:pos="680"/>
        </w:tabs>
        <w:spacing w:after="0" w:line="360" w:lineRule="auto"/>
        <w:ind w:firstLine="227"/>
        <w:jc w:val="both"/>
        <w:rPr>
          <w:rFonts w:ascii="Arial" w:eastAsia="Batang" w:hAnsi="Arial" w:cs="Arial"/>
          <w:b/>
          <w:sz w:val="24"/>
          <w:szCs w:val="24"/>
          <w:lang w:val="en-US" w:eastAsia="de-DE"/>
        </w:rPr>
      </w:pPr>
      <w:r w:rsidRPr="00CF7035">
        <w:rPr>
          <w:rFonts w:ascii="Arial" w:eastAsia="Batang" w:hAnsi="Arial" w:cs="Arial"/>
          <w:b/>
          <w:sz w:val="24"/>
          <w:szCs w:val="24"/>
          <w:lang w:val="en-US" w:eastAsia="de-DE"/>
        </w:rPr>
        <w:t>Fuente: Hoja de cargo    N=400</w:t>
      </w:r>
    </w:p>
    <w:p w:rsidR="00DA66CF" w:rsidRPr="00CF7035" w:rsidRDefault="00DA66CF" w:rsidP="00CF7035">
      <w:pPr>
        <w:tabs>
          <w:tab w:val="left" w:pos="340"/>
          <w:tab w:val="left" w:pos="680"/>
        </w:tabs>
        <w:spacing w:after="0" w:line="360" w:lineRule="auto"/>
        <w:ind w:firstLine="227"/>
        <w:jc w:val="both"/>
        <w:rPr>
          <w:rFonts w:ascii="Arial" w:eastAsia="Batang" w:hAnsi="Arial" w:cs="Arial"/>
          <w:b/>
          <w:sz w:val="24"/>
          <w:szCs w:val="24"/>
          <w:lang w:val="en-US" w:eastAsia="de-DE"/>
        </w:rPr>
      </w:pPr>
    </w:p>
    <w:p w:rsidR="00DA66CF" w:rsidRPr="00CF7035" w:rsidRDefault="008436D3"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sz w:val="24"/>
          <w:szCs w:val="24"/>
          <w:lang w:val="en-US" w:eastAsia="de-DE"/>
        </w:rPr>
        <w:t xml:space="preserve">La tabla 2 muestra la distribución de pacientes en cuanto a síntomas de ansiedad y depresión según sexo y edad donde podemos observar que la depresión estuvo en el 59% de los pacientes atendidos de ellos el 34,5% fueron mujeres y el grupo etario más relevante fue el de </w:t>
      </w:r>
      <w:r w:rsidRPr="00CF7035">
        <w:rPr>
          <w:rFonts w:ascii="Arial" w:eastAsia="Batang" w:hAnsi="Arial" w:cs="Arial"/>
          <w:sz w:val="24"/>
          <w:szCs w:val="24"/>
          <w:lang w:val="en-US" w:eastAsia="de-DE"/>
        </w:rPr>
        <w:lastRenderedPageBreak/>
        <w:t xml:space="preserve">50-59 años. La ansiedad se presentó en el 38% con predominio de las féminas con </w:t>
      </w:r>
      <w:proofErr w:type="gramStart"/>
      <w:r w:rsidRPr="00CF7035">
        <w:rPr>
          <w:rFonts w:ascii="Arial" w:eastAsia="Batang" w:hAnsi="Arial" w:cs="Arial"/>
          <w:sz w:val="24"/>
          <w:szCs w:val="24"/>
          <w:lang w:val="en-US" w:eastAsia="de-DE"/>
        </w:rPr>
        <w:t>un</w:t>
      </w:r>
      <w:proofErr w:type="gramEnd"/>
      <w:r w:rsidRPr="00CF7035">
        <w:rPr>
          <w:rFonts w:ascii="Arial" w:eastAsia="Batang" w:hAnsi="Arial" w:cs="Arial"/>
          <w:sz w:val="24"/>
          <w:szCs w:val="24"/>
          <w:lang w:val="en-US" w:eastAsia="de-DE"/>
        </w:rPr>
        <w:t xml:space="preserve"> 24%, prevaleciendo   el grupo etario 50-59 años. </w:t>
      </w:r>
    </w:p>
    <w:p w:rsidR="008436D3" w:rsidRPr="00CF7035" w:rsidRDefault="008436D3" w:rsidP="00CF7035">
      <w:pPr>
        <w:tabs>
          <w:tab w:val="left" w:pos="340"/>
          <w:tab w:val="left" w:pos="680"/>
        </w:tabs>
        <w:spacing w:after="0" w:line="360" w:lineRule="auto"/>
        <w:jc w:val="both"/>
        <w:rPr>
          <w:rFonts w:ascii="Arial" w:eastAsia="Batang" w:hAnsi="Arial" w:cs="Arial"/>
          <w:color w:val="FF0000"/>
          <w:sz w:val="24"/>
          <w:szCs w:val="24"/>
          <w:lang w:val="en-US" w:eastAsia="de-DE"/>
        </w:rPr>
      </w:pPr>
      <w:r w:rsidRPr="00CF7035">
        <w:rPr>
          <w:rFonts w:ascii="Arial" w:eastAsia="Batang" w:hAnsi="Arial" w:cs="Arial"/>
          <w:b/>
          <w:color w:val="000000"/>
          <w:sz w:val="24"/>
          <w:szCs w:val="24"/>
          <w:lang w:val="en-US" w:eastAsia="de-DE"/>
        </w:rPr>
        <w:t xml:space="preserve">Tabla 2.Distribuciòn de pacientes que presentan síntomas de ansiedad y </w:t>
      </w:r>
      <w:r w:rsidR="00621BD7" w:rsidRPr="00CF7035">
        <w:rPr>
          <w:rFonts w:ascii="Arial" w:eastAsia="Batang" w:hAnsi="Arial" w:cs="Arial"/>
          <w:b/>
          <w:color w:val="000000"/>
          <w:sz w:val="24"/>
          <w:szCs w:val="24"/>
          <w:lang w:val="en-US" w:eastAsia="de-DE"/>
        </w:rPr>
        <w:t>depresión según</w:t>
      </w:r>
      <w:r w:rsidRPr="00CF7035">
        <w:rPr>
          <w:rFonts w:ascii="Arial" w:eastAsia="Batang" w:hAnsi="Arial" w:cs="Arial"/>
          <w:b/>
          <w:color w:val="000000"/>
          <w:sz w:val="24"/>
          <w:szCs w:val="24"/>
          <w:lang w:val="en-US" w:eastAsia="de-DE"/>
        </w:rPr>
        <w:t xml:space="preserve"> edad y sexo </w:t>
      </w:r>
    </w:p>
    <w:tbl>
      <w:tblPr>
        <w:tblW w:w="8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85"/>
        <w:gridCol w:w="868"/>
        <w:gridCol w:w="920"/>
        <w:gridCol w:w="924"/>
        <w:gridCol w:w="920"/>
        <w:gridCol w:w="976"/>
        <w:gridCol w:w="949"/>
        <w:gridCol w:w="977"/>
      </w:tblGrid>
      <w:tr w:rsidR="008436D3" w:rsidRPr="00CF7035" w:rsidTr="00521D53">
        <w:trPr>
          <w:trHeight w:val="382"/>
        </w:trPr>
        <w:tc>
          <w:tcPr>
            <w:tcW w:w="1276" w:type="dxa"/>
            <w:vMerge w:val="restart"/>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Grupo de edad</w:t>
            </w:r>
          </w:p>
        </w:tc>
        <w:tc>
          <w:tcPr>
            <w:tcW w:w="3497" w:type="dxa"/>
            <w:gridSpan w:val="4"/>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Ansiedad</w:t>
            </w:r>
          </w:p>
        </w:tc>
        <w:tc>
          <w:tcPr>
            <w:tcW w:w="3822" w:type="dxa"/>
            <w:gridSpan w:val="4"/>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Depresión</w:t>
            </w:r>
          </w:p>
        </w:tc>
      </w:tr>
      <w:tr w:rsidR="008436D3" w:rsidRPr="00CF7035" w:rsidTr="00521D53">
        <w:trPr>
          <w:trHeight w:val="382"/>
        </w:trPr>
        <w:tc>
          <w:tcPr>
            <w:tcW w:w="1276" w:type="dxa"/>
            <w:vMerge/>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p>
        </w:tc>
        <w:tc>
          <w:tcPr>
            <w:tcW w:w="1653" w:type="dxa"/>
            <w:gridSpan w:val="2"/>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Masculino</w:t>
            </w:r>
          </w:p>
        </w:tc>
        <w:tc>
          <w:tcPr>
            <w:tcW w:w="1844" w:type="dxa"/>
            <w:gridSpan w:val="2"/>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Femenino</w:t>
            </w:r>
          </w:p>
        </w:tc>
        <w:tc>
          <w:tcPr>
            <w:tcW w:w="1896" w:type="dxa"/>
            <w:gridSpan w:val="2"/>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Masculino</w:t>
            </w:r>
          </w:p>
        </w:tc>
        <w:tc>
          <w:tcPr>
            <w:tcW w:w="1926" w:type="dxa"/>
            <w:gridSpan w:val="2"/>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Femenino</w:t>
            </w:r>
          </w:p>
        </w:tc>
      </w:tr>
      <w:tr w:rsidR="008436D3" w:rsidRPr="00CF7035" w:rsidTr="00521D53">
        <w:trPr>
          <w:trHeight w:val="382"/>
        </w:trPr>
        <w:tc>
          <w:tcPr>
            <w:tcW w:w="1276" w:type="dxa"/>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Calibri" w:hAnsi="Arial" w:cs="Arial"/>
                <w:sz w:val="24"/>
                <w:szCs w:val="24"/>
                <w:lang w:val="en-US" w:eastAsia="de-DE"/>
              </w:rPr>
            </w:pP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No</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No</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No</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No</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r>
      <w:tr w:rsidR="008436D3" w:rsidRPr="00CF7035" w:rsidTr="00521D53">
        <w:trPr>
          <w:trHeight w:val="382"/>
        </w:trPr>
        <w:tc>
          <w:tcPr>
            <w:tcW w:w="1276" w:type="dxa"/>
            <w:tcBorders>
              <w:top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&lt; 20</w:t>
            </w: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0,5</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8</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0,7</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9</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2,2</w:t>
            </w:r>
          </w:p>
        </w:tc>
      </w:tr>
      <w:tr w:rsidR="008436D3" w:rsidRPr="00CF7035" w:rsidTr="00521D53">
        <w:trPr>
          <w:trHeight w:val="365"/>
        </w:trPr>
        <w:tc>
          <w:tcPr>
            <w:tcW w:w="127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20-29</w:t>
            </w: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1,2</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11</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2,7</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7</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1,7</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15</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3,7</w:t>
            </w:r>
          </w:p>
        </w:tc>
      </w:tr>
      <w:tr w:rsidR="008436D3" w:rsidRPr="00CF7035" w:rsidTr="00521D53">
        <w:trPr>
          <w:trHeight w:val="382"/>
        </w:trPr>
        <w:tc>
          <w:tcPr>
            <w:tcW w:w="127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30-39</w:t>
            </w: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12</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13</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3,2</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17</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4,2</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20</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w:t>
            </w:r>
          </w:p>
        </w:tc>
      </w:tr>
      <w:tr w:rsidR="008436D3" w:rsidRPr="00CF7035" w:rsidTr="00521D53">
        <w:trPr>
          <w:trHeight w:val="382"/>
        </w:trPr>
        <w:tc>
          <w:tcPr>
            <w:tcW w:w="127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40-49</w:t>
            </w: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8</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21</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5,2</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15</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3,7</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23</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5,7</w:t>
            </w:r>
          </w:p>
        </w:tc>
      </w:tr>
      <w:tr w:rsidR="008436D3" w:rsidRPr="00CF7035" w:rsidTr="00521D53">
        <w:trPr>
          <w:trHeight w:val="365"/>
        </w:trPr>
        <w:tc>
          <w:tcPr>
            <w:tcW w:w="127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50-59</w:t>
            </w: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17</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4,2</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26</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6,5</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29</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7,2</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41</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10,2</w:t>
            </w:r>
          </w:p>
        </w:tc>
      </w:tr>
      <w:tr w:rsidR="008436D3" w:rsidRPr="00CF7035" w:rsidTr="00521D53">
        <w:trPr>
          <w:trHeight w:val="382"/>
        </w:trPr>
        <w:tc>
          <w:tcPr>
            <w:tcW w:w="127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60-69</w:t>
            </w: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9</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2,2</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10</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2,5</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19</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4,7</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17</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4,2</w:t>
            </w:r>
          </w:p>
        </w:tc>
      </w:tr>
      <w:tr w:rsidR="008436D3" w:rsidRPr="00CF7035" w:rsidTr="00521D53">
        <w:trPr>
          <w:trHeight w:val="382"/>
        </w:trPr>
        <w:tc>
          <w:tcPr>
            <w:tcW w:w="1276" w:type="dxa"/>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70-79</w:t>
            </w: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0,7</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1,2</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6</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1,5</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10</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2,5</w:t>
            </w:r>
          </w:p>
        </w:tc>
      </w:tr>
      <w:tr w:rsidR="008436D3" w:rsidRPr="00CF7035" w:rsidTr="00521D53">
        <w:trPr>
          <w:trHeight w:val="747"/>
        </w:trPr>
        <w:tc>
          <w:tcPr>
            <w:tcW w:w="1276" w:type="dxa"/>
            <w:tcBorders>
              <w:bottom w:val="single" w:sz="4" w:space="0" w:color="auto"/>
            </w:tcBorders>
            <w:shd w:val="clear" w:color="auto" w:fill="auto"/>
          </w:tcPr>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80y más</w:t>
            </w: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0,5</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0,5</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0,7</w:t>
            </w:r>
          </w:p>
        </w:tc>
      </w:tr>
      <w:tr w:rsidR="008436D3" w:rsidRPr="00CF7035" w:rsidTr="00521D53">
        <w:trPr>
          <w:trHeight w:val="382"/>
        </w:trPr>
        <w:tc>
          <w:tcPr>
            <w:tcW w:w="12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color w:val="FF0000"/>
                <w:sz w:val="24"/>
                <w:szCs w:val="24"/>
                <w:lang w:val="en-US" w:eastAsia="de-DE"/>
              </w:rPr>
            </w:pPr>
            <w:r w:rsidRPr="00CF7035">
              <w:rPr>
                <w:rFonts w:ascii="Arial" w:eastAsia="Calibri" w:hAnsi="Arial" w:cs="Arial"/>
                <w:b/>
                <w:sz w:val="24"/>
                <w:szCs w:val="24"/>
                <w:lang w:val="en-US" w:eastAsia="de-DE"/>
              </w:rPr>
              <w:t>Total</w:t>
            </w:r>
          </w:p>
        </w:tc>
        <w:tc>
          <w:tcPr>
            <w:tcW w:w="785"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56</w:t>
            </w:r>
          </w:p>
        </w:tc>
        <w:tc>
          <w:tcPr>
            <w:tcW w:w="868"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14</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96</w:t>
            </w:r>
          </w:p>
        </w:tc>
        <w:tc>
          <w:tcPr>
            <w:tcW w:w="924"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24</w:t>
            </w:r>
          </w:p>
        </w:tc>
        <w:tc>
          <w:tcPr>
            <w:tcW w:w="920"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98</w:t>
            </w:r>
          </w:p>
        </w:tc>
        <w:tc>
          <w:tcPr>
            <w:tcW w:w="976"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24,5</w:t>
            </w:r>
          </w:p>
        </w:tc>
        <w:tc>
          <w:tcPr>
            <w:tcW w:w="949"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138</w:t>
            </w:r>
          </w:p>
        </w:tc>
        <w:tc>
          <w:tcPr>
            <w:tcW w:w="977" w:type="dxa"/>
            <w:shd w:val="clear" w:color="auto" w:fill="auto"/>
          </w:tcPr>
          <w:p w:rsidR="008436D3" w:rsidRPr="00CF7035" w:rsidRDefault="008436D3" w:rsidP="00CF7035">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34,5</w:t>
            </w:r>
          </w:p>
        </w:tc>
      </w:tr>
    </w:tbl>
    <w:p w:rsidR="00BC1B1C" w:rsidRPr="00CF7035" w:rsidRDefault="0080187D" w:rsidP="00CF7035">
      <w:pPr>
        <w:tabs>
          <w:tab w:val="left" w:pos="340"/>
          <w:tab w:val="left" w:pos="680"/>
        </w:tabs>
        <w:spacing w:after="0" w:line="360" w:lineRule="auto"/>
        <w:ind w:firstLine="227"/>
        <w:jc w:val="both"/>
        <w:rPr>
          <w:rFonts w:ascii="Arial" w:eastAsia="Batang" w:hAnsi="Arial" w:cs="Arial"/>
          <w:b/>
          <w:sz w:val="24"/>
          <w:szCs w:val="24"/>
          <w:lang w:val="en-US" w:eastAsia="de-DE"/>
        </w:rPr>
      </w:pPr>
      <w:r w:rsidRPr="00CF7035">
        <w:rPr>
          <w:rFonts w:ascii="Arial" w:eastAsia="Batang" w:hAnsi="Arial" w:cs="Arial"/>
          <w:b/>
          <w:sz w:val="24"/>
          <w:szCs w:val="24"/>
          <w:lang w:val="en-US" w:eastAsia="de-DE"/>
        </w:rPr>
        <w:t xml:space="preserve">Fuente: Encuesta </w:t>
      </w:r>
      <w:r w:rsidR="00F42E94" w:rsidRPr="00CF7035">
        <w:rPr>
          <w:rFonts w:ascii="Arial" w:eastAsia="Batang" w:hAnsi="Arial" w:cs="Arial"/>
          <w:b/>
          <w:sz w:val="24"/>
          <w:szCs w:val="24"/>
          <w:lang w:val="en-US" w:eastAsia="de-DE"/>
        </w:rPr>
        <w:t xml:space="preserve">  </w:t>
      </w:r>
      <w:r w:rsidRPr="00CF7035">
        <w:rPr>
          <w:rFonts w:ascii="Arial" w:eastAsia="Batang" w:hAnsi="Arial" w:cs="Arial"/>
          <w:b/>
          <w:sz w:val="24"/>
          <w:szCs w:val="24"/>
          <w:lang w:val="en-US" w:eastAsia="de-DE"/>
        </w:rPr>
        <w:t>n=400</w:t>
      </w:r>
    </w:p>
    <w:p w:rsidR="00DA66CF" w:rsidRPr="00CF7035" w:rsidRDefault="00DA66CF" w:rsidP="00CF7035">
      <w:pPr>
        <w:tabs>
          <w:tab w:val="left" w:pos="340"/>
          <w:tab w:val="left" w:pos="680"/>
        </w:tabs>
        <w:spacing w:after="0" w:line="360" w:lineRule="auto"/>
        <w:ind w:firstLine="227"/>
        <w:jc w:val="both"/>
        <w:rPr>
          <w:rFonts w:ascii="Arial" w:eastAsia="Batang" w:hAnsi="Arial" w:cs="Arial"/>
          <w:sz w:val="24"/>
          <w:szCs w:val="24"/>
          <w:lang w:val="en-US" w:eastAsia="de-DE"/>
        </w:rPr>
      </w:pPr>
    </w:p>
    <w:p w:rsidR="00DA66CF" w:rsidRPr="00CF7035" w:rsidRDefault="00DA66CF" w:rsidP="00CF7035">
      <w:pPr>
        <w:tabs>
          <w:tab w:val="left" w:pos="340"/>
          <w:tab w:val="left" w:pos="680"/>
        </w:tabs>
        <w:spacing w:after="0" w:line="360" w:lineRule="auto"/>
        <w:ind w:firstLine="227"/>
        <w:jc w:val="both"/>
        <w:rPr>
          <w:rFonts w:ascii="Arial" w:eastAsia="Batang" w:hAnsi="Arial" w:cs="Arial"/>
          <w:sz w:val="24"/>
          <w:szCs w:val="24"/>
          <w:lang w:val="en-US" w:eastAsia="de-DE"/>
        </w:rPr>
      </w:pPr>
    </w:p>
    <w:p w:rsidR="00DA66CF" w:rsidRPr="00CF7035" w:rsidRDefault="008436D3" w:rsidP="00CF7035">
      <w:pPr>
        <w:tabs>
          <w:tab w:val="left" w:pos="340"/>
          <w:tab w:val="left" w:pos="680"/>
        </w:tabs>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sz w:val="24"/>
          <w:szCs w:val="24"/>
          <w:lang w:val="en-US" w:eastAsia="de-DE"/>
        </w:rPr>
        <w:t xml:space="preserve">La tabla 3 presenta la Distribución de pacientes que presentan insomnio y disminución de la capacidad laboral según edad y sexo. Demostrando que el insomnio fue el síntoma más frecuente de todos con un 79% del total de pacientes consultados en el periodo en estudio, siendo más afectado el sexo femenino y el grupo etario de 50-59, que fue el más numeroso, también este estudio reveló que el 35% de los convalecientes de covid19 con edad económicamente activa presentó una disminución de su capacidad laboral afectando más a las mujeres en el grupo de edad de 50-59 años. </w:t>
      </w:r>
    </w:p>
    <w:p w:rsidR="00DA66CF" w:rsidRPr="00CF7035" w:rsidRDefault="00DA66CF" w:rsidP="00CF7035">
      <w:pPr>
        <w:tabs>
          <w:tab w:val="left" w:pos="340"/>
          <w:tab w:val="left" w:pos="680"/>
        </w:tabs>
        <w:spacing w:after="0" w:line="360" w:lineRule="auto"/>
        <w:ind w:firstLine="227"/>
        <w:jc w:val="both"/>
        <w:rPr>
          <w:rFonts w:ascii="Arial" w:eastAsia="Batang" w:hAnsi="Arial" w:cs="Arial"/>
          <w:sz w:val="24"/>
          <w:szCs w:val="24"/>
          <w:vertAlign w:val="superscript"/>
          <w:lang w:val="en-US" w:eastAsia="de-DE"/>
        </w:rPr>
      </w:pPr>
    </w:p>
    <w:p w:rsidR="00DA66CF" w:rsidRPr="00CF7035" w:rsidRDefault="00DA66CF" w:rsidP="00CF7035">
      <w:pPr>
        <w:tabs>
          <w:tab w:val="left" w:pos="340"/>
          <w:tab w:val="left" w:pos="680"/>
        </w:tabs>
        <w:spacing w:after="0" w:line="360" w:lineRule="auto"/>
        <w:ind w:firstLine="227"/>
        <w:jc w:val="both"/>
        <w:rPr>
          <w:rFonts w:ascii="Arial" w:eastAsia="Batang" w:hAnsi="Arial" w:cs="Arial"/>
          <w:sz w:val="24"/>
          <w:szCs w:val="24"/>
          <w:vertAlign w:val="superscript"/>
          <w:lang w:val="en-US" w:eastAsia="de-DE"/>
        </w:rPr>
      </w:pPr>
    </w:p>
    <w:p w:rsidR="001928A2" w:rsidRDefault="001928A2"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p w:rsidR="001928A2" w:rsidRDefault="001928A2"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p w:rsidR="00BC1B1C" w:rsidRPr="00CF7035" w:rsidRDefault="00CF7035"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lastRenderedPageBreak/>
        <w:t>Tabla 3.Distribuciòn de pacientes que presentan insomnio y disminución de la capacidad laboral según edad y sexo</w:t>
      </w:r>
    </w:p>
    <w:p w:rsidR="00BC1B1C" w:rsidRPr="00CF7035" w:rsidRDefault="00BC1B1C"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tbl>
      <w:tblPr>
        <w:tblpPr w:leftFromText="141" w:rightFromText="141" w:vertAnchor="page" w:horzAnchor="margin" w:tblpY="2326"/>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963"/>
        <w:gridCol w:w="1017"/>
        <w:gridCol w:w="982"/>
        <w:gridCol w:w="928"/>
        <w:gridCol w:w="921"/>
        <w:gridCol w:w="1035"/>
        <w:gridCol w:w="921"/>
        <w:gridCol w:w="1036"/>
      </w:tblGrid>
      <w:tr w:rsidR="001928A2" w:rsidRPr="00CF7035" w:rsidTr="001928A2">
        <w:trPr>
          <w:trHeight w:val="656"/>
        </w:trPr>
        <w:tc>
          <w:tcPr>
            <w:tcW w:w="1302" w:type="dxa"/>
            <w:vMerge w:val="restart"/>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Grupo de   edad</w:t>
            </w:r>
          </w:p>
        </w:tc>
        <w:tc>
          <w:tcPr>
            <w:tcW w:w="3890" w:type="dxa"/>
            <w:gridSpan w:val="4"/>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Insomnio</w:t>
            </w:r>
          </w:p>
        </w:tc>
        <w:tc>
          <w:tcPr>
            <w:tcW w:w="3913" w:type="dxa"/>
            <w:gridSpan w:val="4"/>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Disminución de la capacidad laboral</w:t>
            </w:r>
          </w:p>
        </w:tc>
      </w:tr>
      <w:tr w:rsidR="001928A2" w:rsidRPr="00CF7035" w:rsidTr="001928A2">
        <w:trPr>
          <w:trHeight w:val="328"/>
        </w:trPr>
        <w:tc>
          <w:tcPr>
            <w:tcW w:w="1302" w:type="dxa"/>
            <w:vMerge/>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p>
        </w:tc>
        <w:tc>
          <w:tcPr>
            <w:tcW w:w="1980" w:type="dxa"/>
            <w:gridSpan w:val="2"/>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Masculino</w:t>
            </w:r>
          </w:p>
        </w:tc>
        <w:tc>
          <w:tcPr>
            <w:tcW w:w="1910" w:type="dxa"/>
            <w:gridSpan w:val="2"/>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Femenino</w:t>
            </w:r>
          </w:p>
        </w:tc>
        <w:tc>
          <w:tcPr>
            <w:tcW w:w="1956" w:type="dxa"/>
            <w:gridSpan w:val="2"/>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Masculino</w:t>
            </w:r>
          </w:p>
        </w:tc>
        <w:tc>
          <w:tcPr>
            <w:tcW w:w="1957" w:type="dxa"/>
            <w:gridSpan w:val="2"/>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Femenino</w:t>
            </w:r>
          </w:p>
        </w:tc>
      </w:tr>
      <w:tr w:rsidR="001928A2" w:rsidRPr="00CF7035" w:rsidTr="001928A2">
        <w:trPr>
          <w:trHeight w:val="342"/>
        </w:trPr>
        <w:tc>
          <w:tcPr>
            <w:tcW w:w="1302" w:type="dxa"/>
            <w:vMerge/>
            <w:shd w:val="clear" w:color="auto" w:fill="auto"/>
          </w:tcPr>
          <w:p w:rsidR="001928A2" w:rsidRPr="00CF7035" w:rsidRDefault="001928A2" w:rsidP="001928A2">
            <w:pPr>
              <w:widowControl w:val="0"/>
              <w:tabs>
                <w:tab w:val="left" w:pos="340"/>
                <w:tab w:val="left" w:pos="680"/>
              </w:tabs>
              <w:autoSpaceDE w:val="0"/>
              <w:autoSpaceDN w:val="0"/>
              <w:adjustRightInd w:val="0"/>
              <w:spacing w:after="0" w:line="360" w:lineRule="auto"/>
              <w:ind w:firstLine="227"/>
              <w:jc w:val="both"/>
              <w:rPr>
                <w:rFonts w:ascii="Arial" w:eastAsia="Calibri" w:hAnsi="Arial" w:cs="Arial"/>
                <w:sz w:val="24"/>
                <w:szCs w:val="24"/>
                <w:lang w:val="en-US" w:eastAsia="de-DE"/>
              </w:rPr>
            </w:pP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No</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No</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No</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No</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r>
      <w:tr w:rsidR="001928A2" w:rsidRPr="00CF7035" w:rsidTr="001928A2">
        <w:trPr>
          <w:trHeight w:val="328"/>
        </w:trPr>
        <w:tc>
          <w:tcPr>
            <w:tcW w:w="1302" w:type="dxa"/>
            <w:tcBorders>
              <w:top w:val="single" w:sz="4" w:space="0" w:color="auto"/>
            </w:tcBorders>
            <w:shd w:val="clear" w:color="auto" w:fill="auto"/>
          </w:tcPr>
          <w:p w:rsidR="001928A2" w:rsidRPr="00CF7035" w:rsidRDefault="001928A2" w:rsidP="001928A2">
            <w:pPr>
              <w:widowControl w:val="0"/>
              <w:tabs>
                <w:tab w:val="left" w:pos="340"/>
                <w:tab w:val="left" w:pos="680"/>
              </w:tabs>
              <w:autoSpaceDE w:val="0"/>
              <w:autoSpaceDN w:val="0"/>
              <w:adjustRightInd w:val="0"/>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&lt; 20</w:t>
            </w: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7</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1,7</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12</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0,7</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1,2</w:t>
            </w:r>
          </w:p>
        </w:tc>
      </w:tr>
      <w:tr w:rsidR="001928A2" w:rsidRPr="00CF7035" w:rsidTr="001928A2">
        <w:trPr>
          <w:trHeight w:val="314"/>
        </w:trPr>
        <w:tc>
          <w:tcPr>
            <w:tcW w:w="1302" w:type="dxa"/>
            <w:shd w:val="clear" w:color="auto" w:fill="auto"/>
          </w:tcPr>
          <w:p w:rsidR="001928A2" w:rsidRPr="00CF7035" w:rsidRDefault="001928A2" w:rsidP="001928A2">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20-29</w:t>
            </w: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11</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2,7</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20</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6</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1,5</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11</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2,7</w:t>
            </w:r>
          </w:p>
        </w:tc>
      </w:tr>
      <w:tr w:rsidR="001928A2" w:rsidRPr="00CF7035" w:rsidTr="001928A2">
        <w:trPr>
          <w:trHeight w:val="328"/>
        </w:trPr>
        <w:tc>
          <w:tcPr>
            <w:tcW w:w="1302" w:type="dxa"/>
            <w:shd w:val="clear" w:color="auto" w:fill="auto"/>
          </w:tcPr>
          <w:p w:rsidR="001928A2" w:rsidRPr="00CF7035" w:rsidRDefault="001928A2" w:rsidP="001928A2">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30-39</w:t>
            </w: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22</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5,5</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29</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7,2</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12</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15</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3,7</w:t>
            </w:r>
          </w:p>
        </w:tc>
      </w:tr>
      <w:tr w:rsidR="001928A2" w:rsidRPr="00CF7035" w:rsidTr="001928A2">
        <w:trPr>
          <w:trHeight w:val="328"/>
        </w:trPr>
        <w:tc>
          <w:tcPr>
            <w:tcW w:w="1302" w:type="dxa"/>
            <w:shd w:val="clear" w:color="auto" w:fill="auto"/>
          </w:tcPr>
          <w:p w:rsidR="001928A2" w:rsidRPr="00CF7035" w:rsidRDefault="001928A2" w:rsidP="001928A2">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40-49</w:t>
            </w: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19</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4,7</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37</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9,2</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9</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2,2</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27</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6,7</w:t>
            </w:r>
          </w:p>
        </w:tc>
      </w:tr>
      <w:tr w:rsidR="001928A2" w:rsidRPr="00CF7035" w:rsidTr="001928A2">
        <w:trPr>
          <w:trHeight w:val="314"/>
        </w:trPr>
        <w:tc>
          <w:tcPr>
            <w:tcW w:w="1302" w:type="dxa"/>
            <w:shd w:val="clear" w:color="auto" w:fill="auto"/>
          </w:tcPr>
          <w:p w:rsidR="001928A2" w:rsidRPr="00CF7035" w:rsidRDefault="001928A2" w:rsidP="001928A2">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50-59</w:t>
            </w: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32</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8</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56</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14</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21</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5,2</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31</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7,7</w:t>
            </w:r>
          </w:p>
        </w:tc>
      </w:tr>
      <w:tr w:rsidR="001928A2" w:rsidRPr="00CF7035" w:rsidTr="001928A2">
        <w:trPr>
          <w:trHeight w:val="328"/>
        </w:trPr>
        <w:tc>
          <w:tcPr>
            <w:tcW w:w="1302" w:type="dxa"/>
            <w:shd w:val="clear" w:color="auto" w:fill="auto"/>
          </w:tcPr>
          <w:p w:rsidR="001928A2" w:rsidRPr="00CF7035" w:rsidRDefault="001928A2" w:rsidP="001928A2">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60-69</w:t>
            </w: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21</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5,25</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23</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5,7</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r>
      <w:tr w:rsidR="001928A2" w:rsidRPr="00CF7035" w:rsidTr="001928A2">
        <w:trPr>
          <w:trHeight w:val="328"/>
        </w:trPr>
        <w:tc>
          <w:tcPr>
            <w:tcW w:w="1302" w:type="dxa"/>
            <w:shd w:val="clear" w:color="auto" w:fill="auto"/>
          </w:tcPr>
          <w:p w:rsidR="001928A2" w:rsidRPr="00CF7035" w:rsidRDefault="001928A2" w:rsidP="001928A2">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70-79</w:t>
            </w: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6</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1,5</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15</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3,7</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r>
      <w:tr w:rsidR="001928A2" w:rsidRPr="00CF7035" w:rsidTr="001928A2">
        <w:trPr>
          <w:trHeight w:val="642"/>
        </w:trPr>
        <w:tc>
          <w:tcPr>
            <w:tcW w:w="1302" w:type="dxa"/>
            <w:tcBorders>
              <w:bottom w:val="single" w:sz="4" w:space="0" w:color="auto"/>
            </w:tcBorders>
            <w:shd w:val="clear" w:color="auto" w:fill="auto"/>
          </w:tcPr>
          <w:p w:rsidR="001928A2" w:rsidRPr="00CF7035" w:rsidRDefault="001928A2" w:rsidP="001928A2">
            <w:pPr>
              <w:widowControl w:val="0"/>
              <w:tabs>
                <w:tab w:val="left" w:pos="340"/>
                <w:tab w:val="left" w:pos="680"/>
              </w:tabs>
              <w:autoSpaceDE w:val="0"/>
              <w:autoSpaceDN w:val="0"/>
              <w:adjustRightInd w:val="0"/>
              <w:spacing w:after="0" w:line="360" w:lineRule="auto"/>
              <w:ind w:firstLine="227"/>
              <w:jc w:val="both"/>
              <w:rPr>
                <w:rFonts w:ascii="Arial" w:eastAsia="Calibri" w:hAnsi="Arial" w:cs="Arial"/>
                <w:color w:val="000000"/>
                <w:sz w:val="24"/>
                <w:szCs w:val="24"/>
                <w:lang w:val="en-US" w:eastAsia="de-DE"/>
              </w:rPr>
            </w:pPr>
            <w:r w:rsidRPr="00CF7035">
              <w:rPr>
                <w:rFonts w:ascii="Arial" w:eastAsia="Calibri" w:hAnsi="Arial" w:cs="Arial"/>
                <w:color w:val="000000"/>
                <w:sz w:val="24"/>
                <w:szCs w:val="24"/>
                <w:lang w:val="en-US" w:eastAsia="de-DE"/>
              </w:rPr>
              <w:t>80y más</w:t>
            </w: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2</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0,5</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4</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1</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sz w:val="24"/>
                <w:szCs w:val="24"/>
                <w:lang w:val="en-US" w:eastAsia="de-DE"/>
              </w:rPr>
            </w:pPr>
            <w:r w:rsidRPr="00CF7035">
              <w:rPr>
                <w:rFonts w:ascii="Arial" w:eastAsia="Calibri" w:hAnsi="Arial" w:cs="Arial"/>
                <w:sz w:val="24"/>
                <w:szCs w:val="24"/>
                <w:lang w:val="en-US" w:eastAsia="de-DE"/>
              </w:rPr>
              <w:t>-</w:t>
            </w:r>
          </w:p>
        </w:tc>
      </w:tr>
      <w:tr w:rsidR="001928A2" w:rsidRPr="00CF7035" w:rsidTr="001928A2">
        <w:trPr>
          <w:trHeight w:val="328"/>
        </w:trPr>
        <w:tc>
          <w:tcPr>
            <w:tcW w:w="130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color w:val="FF0000"/>
                <w:sz w:val="24"/>
                <w:szCs w:val="24"/>
                <w:lang w:val="en-US" w:eastAsia="de-DE"/>
              </w:rPr>
            </w:pPr>
            <w:r w:rsidRPr="00CF7035">
              <w:rPr>
                <w:rFonts w:ascii="Arial" w:eastAsia="Calibri" w:hAnsi="Arial" w:cs="Arial"/>
                <w:b/>
                <w:sz w:val="24"/>
                <w:szCs w:val="24"/>
                <w:lang w:val="en-US" w:eastAsia="de-DE"/>
              </w:rPr>
              <w:t>Total</w:t>
            </w:r>
          </w:p>
        </w:tc>
        <w:tc>
          <w:tcPr>
            <w:tcW w:w="963"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120</w:t>
            </w:r>
          </w:p>
        </w:tc>
        <w:tc>
          <w:tcPr>
            <w:tcW w:w="1017"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30</w:t>
            </w:r>
          </w:p>
        </w:tc>
        <w:tc>
          <w:tcPr>
            <w:tcW w:w="982"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196</w:t>
            </w:r>
          </w:p>
        </w:tc>
        <w:tc>
          <w:tcPr>
            <w:tcW w:w="928"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49</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51</w:t>
            </w:r>
          </w:p>
        </w:tc>
        <w:tc>
          <w:tcPr>
            <w:tcW w:w="1035"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12,7</w:t>
            </w:r>
          </w:p>
        </w:tc>
        <w:tc>
          <w:tcPr>
            <w:tcW w:w="921"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89</w:t>
            </w:r>
          </w:p>
        </w:tc>
        <w:tc>
          <w:tcPr>
            <w:tcW w:w="1036" w:type="dxa"/>
            <w:shd w:val="clear" w:color="auto" w:fill="auto"/>
          </w:tcPr>
          <w:p w:rsidR="001928A2" w:rsidRPr="00CF7035" w:rsidRDefault="001928A2" w:rsidP="001928A2">
            <w:pPr>
              <w:tabs>
                <w:tab w:val="left" w:pos="340"/>
                <w:tab w:val="left" w:pos="680"/>
              </w:tabs>
              <w:spacing w:after="0" w:line="360" w:lineRule="auto"/>
              <w:ind w:firstLine="227"/>
              <w:jc w:val="both"/>
              <w:rPr>
                <w:rFonts w:ascii="Arial" w:eastAsia="Calibri" w:hAnsi="Arial" w:cs="Arial"/>
                <w:b/>
                <w:sz w:val="24"/>
                <w:szCs w:val="24"/>
                <w:lang w:val="en-US" w:eastAsia="de-DE"/>
              </w:rPr>
            </w:pPr>
            <w:r w:rsidRPr="00CF7035">
              <w:rPr>
                <w:rFonts w:ascii="Arial" w:eastAsia="Calibri" w:hAnsi="Arial" w:cs="Arial"/>
                <w:b/>
                <w:sz w:val="24"/>
                <w:szCs w:val="24"/>
                <w:lang w:val="en-US" w:eastAsia="de-DE"/>
              </w:rPr>
              <w:t>22,2</w:t>
            </w:r>
          </w:p>
        </w:tc>
      </w:tr>
    </w:tbl>
    <w:p w:rsidR="00BC1B1C" w:rsidRPr="00CF7035" w:rsidRDefault="00BC1B1C"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p w:rsidR="00BC1B1C" w:rsidRPr="00CF7035" w:rsidRDefault="00BC1B1C"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p w:rsidR="00BC1B1C" w:rsidRPr="00CF7035" w:rsidRDefault="00BC1B1C"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p w:rsidR="00BC1B1C" w:rsidRPr="00CF7035" w:rsidRDefault="00BC1B1C"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p w:rsidR="00BC1B1C" w:rsidRPr="00CF7035" w:rsidRDefault="00BC1B1C"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p w:rsidR="00DA66CF" w:rsidRPr="00CF7035" w:rsidRDefault="00DA66CF"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p w:rsidR="00BC1B1C" w:rsidRPr="00CF7035" w:rsidRDefault="0080187D"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r w:rsidRPr="00CF7035">
        <w:rPr>
          <w:rFonts w:ascii="Arial" w:eastAsia="Batang" w:hAnsi="Arial" w:cs="Arial"/>
          <w:b/>
          <w:color w:val="000000"/>
          <w:sz w:val="24"/>
          <w:szCs w:val="24"/>
          <w:lang w:val="en-US" w:eastAsia="de-DE"/>
        </w:rPr>
        <w:t>Fuente: Encuesta     N=400</w:t>
      </w:r>
    </w:p>
    <w:p w:rsidR="00CF7035" w:rsidRDefault="00CF7035"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bookmarkStart w:id="1" w:name="_GoBack"/>
      <w:bookmarkEnd w:id="1"/>
    </w:p>
    <w:p w:rsidR="008436D3" w:rsidRPr="00CF7035" w:rsidRDefault="00444D6D" w:rsidP="00CF7035">
      <w:pPr>
        <w:pStyle w:val="Prrafodelista"/>
        <w:numPr>
          <w:ilvl w:val="0"/>
          <w:numId w:val="1"/>
        </w:numPr>
        <w:tabs>
          <w:tab w:val="left" w:pos="1200"/>
        </w:tabs>
        <w:spacing w:line="360" w:lineRule="auto"/>
        <w:jc w:val="both"/>
        <w:rPr>
          <w:rFonts w:ascii="Arial" w:hAnsi="Arial" w:cs="Arial"/>
          <w:bCs/>
          <w:color w:val="000000"/>
          <w:sz w:val="24"/>
          <w:szCs w:val="24"/>
        </w:rPr>
      </w:pPr>
      <w:r w:rsidRPr="00CF7035">
        <w:rPr>
          <w:rFonts w:ascii="Arial" w:hAnsi="Arial" w:cs="Arial"/>
          <w:bCs/>
          <w:color w:val="000000"/>
          <w:sz w:val="24"/>
          <w:szCs w:val="24"/>
        </w:rPr>
        <w:t>DISCUSIÓN</w:t>
      </w:r>
    </w:p>
    <w:p w:rsidR="00444D6D" w:rsidRPr="00CF7035" w:rsidRDefault="00444D6D" w:rsidP="00CF7035">
      <w:pPr>
        <w:tabs>
          <w:tab w:val="left" w:pos="1200"/>
        </w:tabs>
        <w:spacing w:line="360" w:lineRule="auto"/>
        <w:jc w:val="both"/>
        <w:rPr>
          <w:rFonts w:ascii="Arial" w:hAnsi="Arial" w:cs="Arial"/>
          <w:color w:val="000000"/>
          <w:sz w:val="24"/>
          <w:szCs w:val="24"/>
          <w:vertAlign w:val="superscript"/>
        </w:rPr>
      </w:pPr>
      <w:r w:rsidRPr="00CF7035">
        <w:rPr>
          <w:rFonts w:ascii="Arial" w:hAnsi="Arial" w:cs="Arial"/>
          <w:bCs/>
          <w:color w:val="000000"/>
          <w:sz w:val="24"/>
          <w:szCs w:val="24"/>
        </w:rPr>
        <w:t>Teniendo en cuenta el procesamiento de la información se analizan los resultados obtenidos</w:t>
      </w:r>
      <w:r w:rsidR="0058102B" w:rsidRPr="00CF7035">
        <w:rPr>
          <w:rFonts w:ascii="Arial" w:hAnsi="Arial" w:cs="Arial"/>
          <w:bCs/>
          <w:color w:val="000000"/>
          <w:sz w:val="24"/>
          <w:szCs w:val="24"/>
        </w:rPr>
        <w:t xml:space="preserve"> el predomino de m</w:t>
      </w:r>
      <w:r w:rsidR="00E8059C" w:rsidRPr="00CF7035">
        <w:rPr>
          <w:rFonts w:ascii="Arial" w:hAnsi="Arial" w:cs="Arial"/>
          <w:bCs/>
          <w:color w:val="000000"/>
          <w:sz w:val="24"/>
          <w:szCs w:val="24"/>
        </w:rPr>
        <w:t>ujeres difiere de otros trabajos</w:t>
      </w:r>
      <w:r w:rsidR="0058102B" w:rsidRPr="00CF7035">
        <w:rPr>
          <w:rFonts w:ascii="Arial" w:hAnsi="Arial" w:cs="Arial"/>
          <w:bCs/>
          <w:color w:val="000000"/>
          <w:sz w:val="24"/>
          <w:szCs w:val="24"/>
        </w:rPr>
        <w:t xml:space="preserve"> como </w:t>
      </w:r>
      <w:r w:rsidR="00E8059C" w:rsidRPr="00CF7035">
        <w:rPr>
          <w:rFonts w:ascii="Arial" w:hAnsi="Arial" w:cs="Arial"/>
          <w:color w:val="000000"/>
          <w:sz w:val="24"/>
          <w:szCs w:val="24"/>
        </w:rPr>
        <w:t>Xiao y otros, en un estudio de 73 pacientes chinos con COVID-19, tuvo predominio del sexo masculino. Según el autor, las condiciones preexistentes son factores de mal pronóstico, que llevan al paciente a condiciones de gravedad con peli</w:t>
      </w:r>
      <w:r w:rsidR="0050247E" w:rsidRPr="00CF7035">
        <w:rPr>
          <w:rFonts w:ascii="Arial" w:hAnsi="Arial" w:cs="Arial"/>
          <w:color w:val="000000"/>
          <w:sz w:val="24"/>
          <w:szCs w:val="24"/>
        </w:rPr>
        <w:t xml:space="preserve">gro para la vida </w:t>
      </w:r>
      <w:r w:rsidR="0050247E" w:rsidRPr="00CF7035">
        <w:rPr>
          <w:rFonts w:ascii="Arial" w:hAnsi="Arial" w:cs="Arial"/>
          <w:color w:val="000000"/>
          <w:sz w:val="24"/>
          <w:szCs w:val="24"/>
          <w:vertAlign w:val="superscript"/>
        </w:rPr>
        <w:t>(</w:t>
      </w:r>
      <w:r w:rsidR="008048D5" w:rsidRPr="00CF7035">
        <w:rPr>
          <w:rFonts w:ascii="Arial" w:hAnsi="Arial" w:cs="Arial"/>
          <w:color w:val="000000"/>
          <w:sz w:val="24"/>
          <w:szCs w:val="24"/>
          <w:vertAlign w:val="superscript"/>
        </w:rPr>
        <w:t>12</w:t>
      </w:r>
      <w:r w:rsidR="0050247E" w:rsidRPr="00CF7035">
        <w:rPr>
          <w:rFonts w:ascii="Arial" w:hAnsi="Arial" w:cs="Arial"/>
          <w:color w:val="000000"/>
          <w:sz w:val="24"/>
          <w:szCs w:val="24"/>
          <w:vertAlign w:val="superscript"/>
        </w:rPr>
        <w:t>).</w:t>
      </w:r>
    </w:p>
    <w:p w:rsidR="008048D5" w:rsidRPr="00CF7035" w:rsidRDefault="00F751A6" w:rsidP="00CF7035">
      <w:pPr>
        <w:tabs>
          <w:tab w:val="left" w:pos="1200"/>
        </w:tabs>
        <w:spacing w:line="360" w:lineRule="auto"/>
        <w:jc w:val="both"/>
        <w:rPr>
          <w:rFonts w:ascii="Arial" w:hAnsi="Arial" w:cs="Arial"/>
          <w:color w:val="000000"/>
          <w:sz w:val="24"/>
          <w:szCs w:val="24"/>
          <w:shd w:val="clear" w:color="auto" w:fill="FFFFFF"/>
        </w:rPr>
      </w:pPr>
      <w:r w:rsidRPr="00CF7035">
        <w:rPr>
          <w:rFonts w:ascii="Arial" w:hAnsi="Arial" w:cs="Arial"/>
          <w:color w:val="000000"/>
          <w:sz w:val="24"/>
          <w:szCs w:val="24"/>
          <w:shd w:val="clear" w:color="auto" w:fill="FFFFFF"/>
        </w:rPr>
        <w:t xml:space="preserve">  El estudio da a conocer el comportamiento de alteraciones psicológicas en la etapa postcovid  a pesar de otros factores que se analizan en otros trabajos</w:t>
      </w:r>
      <w:r w:rsidR="0073178A" w:rsidRPr="00CF7035">
        <w:rPr>
          <w:rFonts w:ascii="Arial" w:hAnsi="Arial" w:cs="Arial"/>
          <w:color w:val="000000"/>
          <w:sz w:val="24"/>
          <w:szCs w:val="24"/>
          <w:shd w:val="clear" w:color="auto" w:fill="FFFFFF"/>
        </w:rPr>
        <w:t xml:space="preserve"> tales como, Taquet M, Geddes JR, que plantea que</w:t>
      </w:r>
      <w:r w:rsidR="008048D5" w:rsidRPr="00CF7035">
        <w:rPr>
          <w:rFonts w:ascii="Arial" w:hAnsi="Arial" w:cs="Arial"/>
          <w:color w:val="000000"/>
          <w:sz w:val="24"/>
          <w:szCs w:val="24"/>
          <w:shd w:val="clear" w:color="auto" w:fill="FFFFFF"/>
        </w:rPr>
        <w:t xml:space="preserve"> la incidencia de enfermedad mental ha aumentado durante la pandemia en la población general, independientemente de la infección por COVID-19, debido a otros factores, como el aislamiento social, el confinamiento, el aumento del desempleo, y el aumento del uso de drogas y estimulantes</w:t>
      </w:r>
      <w:r w:rsidR="0050247E" w:rsidRPr="00CF7035">
        <w:rPr>
          <w:rFonts w:ascii="Arial" w:hAnsi="Arial" w:cs="Arial"/>
          <w:color w:val="000000"/>
          <w:sz w:val="24"/>
          <w:szCs w:val="24"/>
          <w:shd w:val="clear" w:color="auto" w:fill="FFFFFF"/>
        </w:rPr>
        <w:t xml:space="preserve"> </w:t>
      </w:r>
      <w:r w:rsidR="0050247E" w:rsidRPr="00CF7035">
        <w:rPr>
          <w:rFonts w:ascii="Arial" w:hAnsi="Arial" w:cs="Arial"/>
          <w:color w:val="000000"/>
          <w:sz w:val="24"/>
          <w:szCs w:val="24"/>
          <w:shd w:val="clear" w:color="auto" w:fill="FFFFFF"/>
          <w:vertAlign w:val="superscript"/>
        </w:rPr>
        <w:t>(</w:t>
      </w:r>
      <w:r w:rsidRPr="00CF7035">
        <w:rPr>
          <w:rFonts w:ascii="Arial" w:hAnsi="Arial" w:cs="Arial"/>
          <w:color w:val="000000"/>
          <w:sz w:val="24"/>
          <w:szCs w:val="24"/>
          <w:shd w:val="clear" w:color="auto" w:fill="FFFFFF"/>
          <w:vertAlign w:val="superscript"/>
        </w:rPr>
        <w:t>13</w:t>
      </w:r>
      <w:r w:rsidR="0050247E" w:rsidRPr="00CF7035">
        <w:rPr>
          <w:rFonts w:ascii="Arial" w:hAnsi="Arial" w:cs="Arial"/>
          <w:color w:val="000000"/>
          <w:sz w:val="24"/>
          <w:szCs w:val="24"/>
          <w:shd w:val="clear" w:color="auto" w:fill="FFFFFF"/>
          <w:vertAlign w:val="superscript"/>
        </w:rPr>
        <w:t>)</w:t>
      </w:r>
      <w:r w:rsidR="0050247E" w:rsidRPr="00CF7035">
        <w:rPr>
          <w:rFonts w:ascii="Arial" w:hAnsi="Arial" w:cs="Arial"/>
          <w:color w:val="000000"/>
          <w:sz w:val="24"/>
          <w:szCs w:val="24"/>
          <w:shd w:val="clear" w:color="auto" w:fill="FFFFFF"/>
        </w:rPr>
        <w:t>.</w:t>
      </w:r>
    </w:p>
    <w:p w:rsidR="0073178A" w:rsidRPr="00CF7035" w:rsidRDefault="0073178A" w:rsidP="00CF7035">
      <w:pPr>
        <w:tabs>
          <w:tab w:val="left" w:pos="1200"/>
        </w:tabs>
        <w:spacing w:line="360" w:lineRule="auto"/>
        <w:jc w:val="both"/>
        <w:rPr>
          <w:rFonts w:ascii="Arial" w:hAnsi="Arial" w:cs="Arial"/>
          <w:color w:val="000000"/>
          <w:sz w:val="24"/>
          <w:szCs w:val="24"/>
          <w:shd w:val="clear" w:color="auto" w:fill="FFFFFF"/>
          <w:vertAlign w:val="superscript"/>
        </w:rPr>
      </w:pPr>
      <w:r w:rsidRPr="00CF7035">
        <w:rPr>
          <w:rFonts w:ascii="Arial" w:hAnsi="Arial" w:cs="Arial"/>
          <w:color w:val="000000"/>
          <w:sz w:val="24"/>
          <w:szCs w:val="24"/>
          <w:shd w:val="clear" w:color="auto" w:fill="FFFFFF"/>
        </w:rPr>
        <w:lastRenderedPageBreak/>
        <w:t>La falta de sueño o la incapacidad le lograr un sueño mantenido por un espacio de 6 a 8 horas fue la queja más frecuente de los sujetos estudiados seguido de la depresión y la ansiedad; coincidiendo con otros estudios. Huang C, Huang L, Wang Y, Li X concluye que 76% de los pacientes presentaba al menos un síntoma de síndrome post-COVID-19 a los seis meses, y los más prevalentes fueron fatiga y debilidad muscular (63%), trastornos del sueño (26%), alopecia (22%), anosmia (11%), ageusia (9%) y trastornos de la movilidad (7%). Los pacientes más graves presentaban anomalías en la difusión pulmonar, fatiga y debilidad muscular, y ansiedad y depresión</w:t>
      </w:r>
      <w:r w:rsidR="0050247E" w:rsidRPr="00CF7035">
        <w:rPr>
          <w:rFonts w:ascii="Arial" w:hAnsi="Arial" w:cs="Arial"/>
          <w:color w:val="000000"/>
          <w:sz w:val="24"/>
          <w:szCs w:val="24"/>
          <w:shd w:val="clear" w:color="auto" w:fill="FFFFFF"/>
        </w:rPr>
        <w:t xml:space="preserve"> </w:t>
      </w:r>
      <w:r w:rsidR="0050247E" w:rsidRPr="00CF7035">
        <w:rPr>
          <w:rFonts w:ascii="Arial" w:hAnsi="Arial" w:cs="Arial"/>
          <w:color w:val="000000"/>
          <w:sz w:val="24"/>
          <w:szCs w:val="24"/>
          <w:shd w:val="clear" w:color="auto" w:fill="FFFFFF"/>
          <w:vertAlign w:val="superscript"/>
        </w:rPr>
        <w:t>(</w:t>
      </w:r>
      <w:r w:rsidRPr="00CF7035">
        <w:rPr>
          <w:rFonts w:ascii="Arial" w:hAnsi="Arial" w:cs="Arial"/>
          <w:color w:val="000000"/>
          <w:sz w:val="24"/>
          <w:szCs w:val="24"/>
          <w:shd w:val="clear" w:color="auto" w:fill="FFFFFF"/>
          <w:vertAlign w:val="superscript"/>
        </w:rPr>
        <w:t>14</w:t>
      </w:r>
      <w:r w:rsidR="0050247E" w:rsidRPr="00CF7035">
        <w:rPr>
          <w:rFonts w:ascii="Arial" w:hAnsi="Arial" w:cs="Arial"/>
          <w:color w:val="000000"/>
          <w:sz w:val="24"/>
          <w:szCs w:val="24"/>
          <w:shd w:val="clear" w:color="auto" w:fill="FFFFFF"/>
          <w:vertAlign w:val="superscript"/>
        </w:rPr>
        <w:t>).</w:t>
      </w:r>
    </w:p>
    <w:p w:rsidR="00BC1B1C" w:rsidRPr="00CF7035" w:rsidRDefault="00BC1B1C" w:rsidP="00CF7035">
      <w:pPr>
        <w:tabs>
          <w:tab w:val="left" w:pos="1200"/>
        </w:tabs>
        <w:spacing w:line="360" w:lineRule="auto"/>
        <w:jc w:val="both"/>
        <w:rPr>
          <w:rFonts w:ascii="Arial" w:hAnsi="Arial" w:cs="Arial"/>
          <w:color w:val="000000"/>
          <w:sz w:val="24"/>
          <w:szCs w:val="24"/>
          <w:shd w:val="clear" w:color="auto" w:fill="FFFFFF"/>
        </w:rPr>
      </w:pPr>
      <w:r w:rsidRPr="00CF7035">
        <w:rPr>
          <w:rFonts w:ascii="Arial" w:hAnsi="Arial" w:cs="Arial"/>
          <w:color w:val="000000"/>
          <w:sz w:val="24"/>
          <w:szCs w:val="24"/>
          <w:shd w:val="clear" w:color="auto" w:fill="FFFFFF"/>
        </w:rPr>
        <w:t>La disminución de la capacidad laboral es el resultado de u una o de varias combinaciones de la secuelas de la Covid constituyendo uno de los elementos más frecuentes dentro del ausentismo laboral este resultado coincide con otros estudios como por ejemplo  que revela que el 86% de los participantes había padecido recaídas siguiendo un patrón irregular o consecuencia de desencadenantes como el estrés, el calor, el consumo de alcohol, el ejercicio o el desempeño d</w:t>
      </w:r>
      <w:r w:rsidR="0050247E" w:rsidRPr="00CF7035">
        <w:rPr>
          <w:rFonts w:ascii="Arial" w:hAnsi="Arial" w:cs="Arial"/>
          <w:color w:val="000000"/>
          <w:sz w:val="24"/>
          <w:szCs w:val="24"/>
          <w:shd w:val="clear" w:color="auto" w:fill="FFFFFF"/>
        </w:rPr>
        <w:t xml:space="preserve">e una actividad física o mental </w:t>
      </w:r>
      <w:r w:rsidR="0050247E" w:rsidRPr="00CF7035">
        <w:rPr>
          <w:rFonts w:ascii="Arial" w:hAnsi="Arial" w:cs="Arial"/>
          <w:color w:val="000000"/>
          <w:sz w:val="24"/>
          <w:szCs w:val="24"/>
          <w:shd w:val="clear" w:color="auto" w:fill="FFFFFF"/>
          <w:vertAlign w:val="superscript"/>
        </w:rPr>
        <w:t>(</w:t>
      </w:r>
      <w:r w:rsidRPr="00CF7035">
        <w:rPr>
          <w:rFonts w:ascii="Arial" w:hAnsi="Arial" w:cs="Arial"/>
          <w:color w:val="000000"/>
          <w:sz w:val="24"/>
          <w:szCs w:val="24"/>
          <w:shd w:val="clear" w:color="auto" w:fill="FFFFFF"/>
          <w:vertAlign w:val="superscript"/>
        </w:rPr>
        <w:t>15</w:t>
      </w:r>
      <w:r w:rsidR="0050247E" w:rsidRPr="00CF7035">
        <w:rPr>
          <w:rFonts w:ascii="Arial" w:hAnsi="Arial" w:cs="Arial"/>
          <w:color w:val="000000"/>
          <w:sz w:val="24"/>
          <w:szCs w:val="24"/>
          <w:shd w:val="clear" w:color="auto" w:fill="FFFFFF"/>
          <w:vertAlign w:val="superscript"/>
        </w:rPr>
        <w:t>)</w:t>
      </w:r>
      <w:r w:rsidR="0050247E" w:rsidRPr="00CF7035">
        <w:rPr>
          <w:rFonts w:ascii="Arial" w:hAnsi="Arial" w:cs="Arial"/>
          <w:color w:val="000000"/>
          <w:sz w:val="24"/>
          <w:szCs w:val="24"/>
          <w:shd w:val="clear" w:color="auto" w:fill="FFFFFF"/>
        </w:rPr>
        <w:t>.</w:t>
      </w:r>
      <w:r w:rsidRPr="00CF7035">
        <w:rPr>
          <w:rFonts w:ascii="Arial" w:hAnsi="Arial" w:cs="Arial"/>
          <w:color w:val="000000"/>
          <w:sz w:val="24"/>
          <w:szCs w:val="24"/>
          <w:shd w:val="clear" w:color="auto" w:fill="FFFFFF"/>
        </w:rPr>
        <w:t xml:space="preserve"> </w:t>
      </w:r>
    </w:p>
    <w:p w:rsidR="008436D3" w:rsidRPr="00CF7035" w:rsidRDefault="00A463A9" w:rsidP="00CF7035">
      <w:pPr>
        <w:keepNext/>
        <w:keepLines/>
        <w:tabs>
          <w:tab w:val="left" w:pos="340"/>
          <w:tab w:val="left" w:pos="680"/>
        </w:tabs>
        <w:suppressAutoHyphens/>
        <w:spacing w:before="400" w:after="200" w:line="360" w:lineRule="auto"/>
        <w:ind w:left="360"/>
        <w:jc w:val="both"/>
        <w:outlineLvl w:val="0"/>
        <w:rPr>
          <w:rFonts w:ascii="Arial" w:eastAsia="Batang" w:hAnsi="Arial" w:cs="Arial"/>
          <w:bCs/>
          <w:caps/>
          <w:snapToGrid w:val="0"/>
          <w:kern w:val="32"/>
          <w:sz w:val="24"/>
          <w:szCs w:val="24"/>
        </w:rPr>
      </w:pPr>
      <w:r w:rsidRPr="00CF7035">
        <w:rPr>
          <w:rFonts w:ascii="Arial" w:eastAsia="Batang" w:hAnsi="Arial" w:cs="Arial"/>
          <w:bCs/>
          <w:caps/>
          <w:snapToGrid w:val="0"/>
          <w:kern w:val="32"/>
          <w:sz w:val="24"/>
          <w:szCs w:val="24"/>
        </w:rPr>
        <w:t>V.</w:t>
      </w:r>
      <w:r w:rsidR="008436D3" w:rsidRPr="00CF7035">
        <w:rPr>
          <w:rFonts w:ascii="Arial" w:eastAsia="Batang" w:hAnsi="Arial" w:cs="Arial"/>
          <w:bCs/>
          <w:caps/>
          <w:snapToGrid w:val="0"/>
          <w:kern w:val="32"/>
          <w:sz w:val="24"/>
          <w:szCs w:val="24"/>
        </w:rPr>
        <w:t>conclusiones</w:t>
      </w:r>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rPr>
      </w:pPr>
    </w:p>
    <w:p w:rsidR="00AC4422" w:rsidRPr="00CF7035" w:rsidRDefault="00C7296F" w:rsidP="001928A2">
      <w:pPr>
        <w:tabs>
          <w:tab w:val="left" w:pos="340"/>
          <w:tab w:val="left" w:pos="680"/>
        </w:tabs>
        <w:spacing w:after="0" w:line="360" w:lineRule="auto"/>
        <w:ind w:firstLine="227"/>
        <w:jc w:val="both"/>
        <w:rPr>
          <w:rFonts w:ascii="Arial" w:eastAsia="Batang" w:hAnsi="Arial" w:cs="Arial"/>
          <w:bCs/>
          <w:caps/>
          <w:snapToGrid w:val="0"/>
          <w:kern w:val="32"/>
          <w:sz w:val="24"/>
          <w:szCs w:val="24"/>
        </w:rPr>
      </w:pPr>
      <w:r w:rsidRPr="00CF7035">
        <w:rPr>
          <w:rFonts w:ascii="Arial" w:eastAsia="Times New Roman" w:hAnsi="Arial" w:cs="Arial"/>
          <w:sz w:val="24"/>
          <w:szCs w:val="24"/>
          <w:lang w:eastAsia="es-ES"/>
        </w:rPr>
        <w:t>El síndrome post-COVID-19 no es</w:t>
      </w:r>
      <w:r w:rsidR="0012511A" w:rsidRPr="00CF7035">
        <w:rPr>
          <w:rFonts w:ascii="Arial" w:eastAsia="Times New Roman" w:hAnsi="Arial" w:cs="Arial"/>
          <w:sz w:val="24"/>
          <w:szCs w:val="24"/>
          <w:lang w:eastAsia="es-ES"/>
        </w:rPr>
        <w:t xml:space="preserve"> una entidad homogénea ni única</w:t>
      </w:r>
      <w:r w:rsidRPr="00CF7035">
        <w:rPr>
          <w:rFonts w:ascii="Arial" w:eastAsia="Times New Roman" w:hAnsi="Arial" w:cs="Arial"/>
          <w:sz w:val="24"/>
          <w:szCs w:val="24"/>
          <w:lang w:eastAsia="es-ES"/>
        </w:rPr>
        <w:t xml:space="preserve"> y se ha descrito una gran variación en las estimaciones sobre su incidencia y prevalencia</w:t>
      </w:r>
      <w:r w:rsidR="00512F57" w:rsidRPr="00CF7035">
        <w:rPr>
          <w:rFonts w:ascii="Arial" w:eastAsia="Times New Roman" w:hAnsi="Arial" w:cs="Arial"/>
          <w:sz w:val="24"/>
          <w:szCs w:val="24"/>
          <w:lang w:eastAsia="es-ES"/>
        </w:rPr>
        <w:t>,</w:t>
      </w:r>
      <w:r w:rsidRPr="00CF7035">
        <w:rPr>
          <w:rFonts w:ascii="Arial" w:eastAsia="Times New Roman" w:hAnsi="Arial" w:cs="Arial"/>
          <w:sz w:val="24"/>
          <w:szCs w:val="24"/>
          <w:lang w:eastAsia="es-ES"/>
        </w:rPr>
        <w:t> </w:t>
      </w:r>
      <w:r w:rsidR="00512F57" w:rsidRPr="00CF7035">
        <w:rPr>
          <w:rFonts w:ascii="Arial" w:eastAsia="Times New Roman" w:hAnsi="Arial" w:cs="Arial"/>
          <w:sz w:val="24"/>
          <w:szCs w:val="24"/>
          <w:lang w:eastAsia="es-ES"/>
        </w:rPr>
        <w:t>que afecta más al sexo femenino, e</w:t>
      </w:r>
      <w:r w:rsidRPr="00CF7035">
        <w:rPr>
          <w:rFonts w:ascii="Arial" w:eastAsia="Times New Roman" w:hAnsi="Arial" w:cs="Arial"/>
          <w:sz w:val="24"/>
          <w:szCs w:val="24"/>
          <w:lang w:eastAsia="es-ES"/>
        </w:rPr>
        <w:t>l insomnio es el síntoma descrito con mayor frecuencia, seguido de la depresión</w:t>
      </w:r>
      <w:r w:rsidR="00512F57" w:rsidRPr="00CF7035">
        <w:rPr>
          <w:rFonts w:ascii="Arial" w:eastAsia="Times New Roman" w:hAnsi="Arial" w:cs="Arial"/>
          <w:sz w:val="24"/>
          <w:szCs w:val="24"/>
          <w:lang w:eastAsia="es-ES"/>
        </w:rPr>
        <w:t xml:space="preserve"> y la ansiedad</w:t>
      </w:r>
      <w:r w:rsidR="0012511A" w:rsidRPr="00CF7035">
        <w:rPr>
          <w:rFonts w:ascii="Arial" w:eastAsia="Times New Roman" w:hAnsi="Arial" w:cs="Arial"/>
          <w:sz w:val="24"/>
          <w:szCs w:val="24"/>
          <w:lang w:eastAsia="es-ES"/>
        </w:rPr>
        <w:t>. S</w:t>
      </w:r>
      <w:r w:rsidR="00512F57" w:rsidRPr="00CF7035">
        <w:rPr>
          <w:rFonts w:ascii="Arial" w:eastAsia="Times New Roman" w:hAnsi="Arial" w:cs="Arial"/>
          <w:sz w:val="24"/>
          <w:szCs w:val="24"/>
          <w:lang w:eastAsia="es-ES"/>
        </w:rPr>
        <w:t>u total recuperación no puede definirse como una prueba PCR negativa, o alta hospitalaria,</w:t>
      </w:r>
      <w:r w:rsidR="0012511A" w:rsidRPr="00CF7035">
        <w:rPr>
          <w:rFonts w:ascii="Arial" w:eastAsia="Times New Roman" w:hAnsi="Arial" w:cs="Arial"/>
          <w:sz w:val="24"/>
          <w:szCs w:val="24"/>
          <w:lang w:eastAsia="es-ES"/>
        </w:rPr>
        <w:t xml:space="preserve"> sino que</w:t>
      </w:r>
      <w:r w:rsidR="00512F57" w:rsidRPr="00CF7035">
        <w:rPr>
          <w:rFonts w:ascii="Arial" w:eastAsia="Times New Roman" w:hAnsi="Arial" w:cs="Arial"/>
          <w:sz w:val="24"/>
          <w:szCs w:val="24"/>
          <w:lang w:eastAsia="es-ES"/>
        </w:rPr>
        <w:t xml:space="preserve"> existe una notable variación en la duración y la aparición de los síntomas</w:t>
      </w:r>
      <w:r w:rsidR="0012511A" w:rsidRPr="00CF7035">
        <w:rPr>
          <w:rFonts w:ascii="Arial" w:eastAsia="Times New Roman" w:hAnsi="Arial" w:cs="Arial"/>
          <w:sz w:val="24"/>
          <w:szCs w:val="24"/>
          <w:lang w:eastAsia="es-ES"/>
        </w:rPr>
        <w:t>,</w:t>
      </w:r>
      <w:r w:rsidR="00512F57" w:rsidRPr="00CF7035">
        <w:rPr>
          <w:rFonts w:ascii="Arial" w:eastAsia="Times New Roman" w:hAnsi="Arial" w:cs="Arial"/>
          <w:sz w:val="24"/>
          <w:szCs w:val="24"/>
          <w:lang w:eastAsia="es-ES"/>
        </w:rPr>
        <w:t xml:space="preserve"> los que pueden disminuir la capacidad laboral y la calidad de vida de los supervivientes a esta infección.</w:t>
      </w:r>
    </w:p>
    <w:p w:rsidR="008436D3" w:rsidRPr="00CF7035" w:rsidRDefault="00A463A9" w:rsidP="00CF7035">
      <w:pPr>
        <w:keepNext/>
        <w:keepLines/>
        <w:tabs>
          <w:tab w:val="left" w:pos="340"/>
          <w:tab w:val="left" w:pos="680"/>
        </w:tabs>
        <w:suppressAutoHyphens/>
        <w:spacing w:before="360" w:after="180" w:line="360" w:lineRule="auto"/>
        <w:jc w:val="both"/>
        <w:outlineLvl w:val="0"/>
        <w:rPr>
          <w:rFonts w:ascii="Arial" w:eastAsia="Batang" w:hAnsi="Arial" w:cs="Arial"/>
          <w:bCs/>
          <w:caps/>
          <w:snapToGrid w:val="0"/>
          <w:kern w:val="32"/>
          <w:sz w:val="24"/>
          <w:szCs w:val="24"/>
        </w:rPr>
      </w:pPr>
      <w:r w:rsidRPr="00CF7035">
        <w:rPr>
          <w:rFonts w:ascii="Arial" w:eastAsia="Batang" w:hAnsi="Arial" w:cs="Arial"/>
          <w:bCs/>
          <w:caps/>
          <w:snapToGrid w:val="0"/>
          <w:kern w:val="32"/>
          <w:sz w:val="24"/>
          <w:szCs w:val="24"/>
        </w:rPr>
        <w:t xml:space="preserve">VI. </w:t>
      </w:r>
      <w:r w:rsidR="008436D3" w:rsidRPr="00CF7035">
        <w:rPr>
          <w:rFonts w:ascii="Arial" w:eastAsia="Batang" w:hAnsi="Arial" w:cs="Arial"/>
          <w:bCs/>
          <w:caps/>
          <w:snapToGrid w:val="0"/>
          <w:kern w:val="32"/>
          <w:sz w:val="24"/>
          <w:szCs w:val="24"/>
        </w:rPr>
        <w:t xml:space="preserve">REFERENCIaS </w:t>
      </w:r>
    </w:p>
    <w:p w:rsidR="008436D3" w:rsidRPr="00CF7035" w:rsidRDefault="00F42E94" w:rsidP="00CF7035">
      <w:pPr>
        <w:tabs>
          <w:tab w:val="left" w:pos="340"/>
          <w:tab w:val="left" w:pos="680"/>
        </w:tabs>
        <w:spacing w:after="0" w:line="360" w:lineRule="auto"/>
        <w:ind w:firstLine="227"/>
        <w:jc w:val="both"/>
        <w:rPr>
          <w:rFonts w:ascii="Arial" w:eastAsia="Batang" w:hAnsi="Arial" w:cs="Arial"/>
          <w:sz w:val="24"/>
          <w:szCs w:val="24"/>
          <w:lang w:val="en-US" w:eastAsia="de-DE"/>
        </w:rPr>
      </w:pPr>
      <w:r w:rsidRPr="00CF7035">
        <w:rPr>
          <w:rFonts w:ascii="Arial" w:eastAsia="Batang" w:hAnsi="Arial" w:cs="Arial"/>
          <w:color w:val="000000"/>
          <w:sz w:val="24"/>
          <w:szCs w:val="24"/>
          <w:lang w:val="en-US" w:eastAsia="de-DE"/>
        </w:rPr>
        <w:t>1</w:t>
      </w:r>
      <w:r w:rsidR="008436D3" w:rsidRPr="00CF7035">
        <w:rPr>
          <w:rFonts w:ascii="Arial" w:eastAsia="Batang" w:hAnsi="Arial" w:cs="Arial"/>
          <w:color w:val="000000"/>
          <w:sz w:val="24"/>
          <w:szCs w:val="24"/>
          <w:lang w:val="en-US" w:eastAsia="de-DE"/>
        </w:rPr>
        <w:t>-</w:t>
      </w:r>
      <w:r w:rsidR="008436D3" w:rsidRPr="00CF7035">
        <w:rPr>
          <w:rFonts w:ascii="Arial" w:eastAsia="Times New Roman" w:hAnsi="Arial" w:cs="Arial"/>
          <w:color w:val="000000"/>
          <w:sz w:val="24"/>
          <w:szCs w:val="24"/>
          <w:lang w:val="en-US" w:eastAsia="es-ES"/>
        </w:rPr>
        <w:t xml:space="preserve"> García Gómez A, Argota Robles AF, Galindo Murgas K, Caballero Ramos J, Rodríguez Arrieta5 HD, Zafra Florez AF. Rehabilitación multidisciplinaria y multiorgánica </w:t>
      </w:r>
      <w:proofErr w:type="gramStart"/>
      <w:r w:rsidR="008436D3" w:rsidRPr="00CF7035">
        <w:rPr>
          <w:rFonts w:ascii="Arial" w:eastAsia="Times New Roman" w:hAnsi="Arial" w:cs="Arial"/>
          <w:color w:val="000000"/>
          <w:sz w:val="24"/>
          <w:szCs w:val="24"/>
          <w:lang w:val="en-US" w:eastAsia="es-ES"/>
        </w:rPr>
        <w:t>del</w:t>
      </w:r>
      <w:proofErr w:type="gramEnd"/>
      <w:r w:rsidR="008436D3" w:rsidRPr="00CF7035">
        <w:rPr>
          <w:rFonts w:ascii="Arial" w:eastAsia="Times New Roman" w:hAnsi="Arial" w:cs="Arial"/>
          <w:color w:val="000000"/>
          <w:sz w:val="24"/>
          <w:szCs w:val="24"/>
          <w:lang w:val="en-US" w:eastAsia="es-ES"/>
        </w:rPr>
        <w:t xml:space="preserve"> paciente post COVID-19. S&amp;EMJ [Internet]. 2021[citado 28 Abr 2022]; 2(1):185-205. Disponible en: </w:t>
      </w:r>
      <w:hyperlink r:id="rId11" w:history="1">
        <w:r w:rsidR="008436D3" w:rsidRPr="00CF7035">
          <w:rPr>
            <w:rFonts w:ascii="Arial" w:eastAsia="Times New Roman" w:hAnsi="Arial" w:cs="Arial"/>
            <w:sz w:val="24"/>
            <w:szCs w:val="24"/>
            <w:lang w:val="en-US" w:eastAsia="es-ES"/>
          </w:rPr>
          <w:t>https://www.medicaljournal.com.co/index.php/mj/article/download/40/80</w:t>
        </w:r>
      </w:hyperlink>
    </w:p>
    <w:p w:rsidR="008436D3" w:rsidRPr="00CF7035" w:rsidRDefault="008436D3" w:rsidP="00CF7035">
      <w:pPr>
        <w:tabs>
          <w:tab w:val="left" w:pos="340"/>
          <w:tab w:val="left" w:pos="680"/>
        </w:tabs>
        <w:suppressAutoHyphens/>
        <w:spacing w:after="100" w:afterAutospacing="1" w:line="360" w:lineRule="auto"/>
        <w:jc w:val="both"/>
        <w:outlineLvl w:val="0"/>
        <w:rPr>
          <w:rFonts w:ascii="Arial" w:eastAsia="Times New Roman" w:hAnsi="Arial" w:cs="Arial"/>
          <w:caps/>
          <w:kern w:val="36"/>
          <w:sz w:val="24"/>
          <w:szCs w:val="24"/>
          <w:lang w:val="en-US" w:eastAsia="es-ES"/>
        </w:rPr>
      </w:pPr>
      <w:r w:rsidRPr="00CF7035">
        <w:rPr>
          <w:rFonts w:ascii="Arial" w:eastAsia="Batang" w:hAnsi="Arial" w:cs="Arial"/>
          <w:bCs/>
          <w:caps/>
          <w:kern w:val="32"/>
          <w:sz w:val="24"/>
          <w:szCs w:val="24"/>
          <w:lang w:val="en-US" w:eastAsia="de-DE"/>
        </w:rPr>
        <w:t>2-</w:t>
      </w:r>
      <w:r w:rsidRPr="00CF7035">
        <w:rPr>
          <w:rFonts w:ascii="Arial" w:eastAsia="Times New Roman" w:hAnsi="Arial" w:cs="Arial"/>
          <w:bCs/>
          <w:caps/>
          <w:color w:val="000000"/>
          <w:kern w:val="36"/>
          <w:sz w:val="24"/>
          <w:szCs w:val="24"/>
          <w:lang w:val="en-US" w:eastAsia="es-ES"/>
        </w:rPr>
        <w:t xml:space="preserve"> Bouza E, Cantón Moreno R, De Lucas Ramos P, García-Botella A, García-Lledó A, Gómez-Pavón J et al. Síndrome post-COVID: Un documento de </w:t>
      </w:r>
      <w:r w:rsidRPr="00CF7035">
        <w:rPr>
          <w:rFonts w:ascii="Arial" w:eastAsia="Times New Roman" w:hAnsi="Arial" w:cs="Arial"/>
          <w:bCs/>
          <w:caps/>
          <w:color w:val="000000"/>
          <w:kern w:val="36"/>
          <w:sz w:val="24"/>
          <w:szCs w:val="24"/>
          <w:lang w:val="en-US" w:eastAsia="es-ES"/>
        </w:rPr>
        <w:lastRenderedPageBreak/>
        <w:t xml:space="preserve">reflexión y opinión. Rev Esp Quimioter [Internet]. 2021 [citado 28 Abr 2022]; 34(4): [aprox. 22 p.].  Disponible en: </w:t>
      </w:r>
      <w:hyperlink r:id="rId12" w:history="1">
        <w:r w:rsidRPr="00CF7035">
          <w:rPr>
            <w:rFonts w:ascii="Arial" w:eastAsia="Times New Roman" w:hAnsi="Arial" w:cs="Arial"/>
            <w:bCs/>
            <w:caps/>
            <w:color w:val="0000FF"/>
            <w:kern w:val="36"/>
            <w:sz w:val="24"/>
            <w:szCs w:val="24"/>
            <w:u w:val="single"/>
            <w:lang w:val="en-US" w:eastAsia="es-ES"/>
          </w:rPr>
          <w:t>https://www.ncbi.nlm.nih.gov/pmc/articles/PMC8329562/</w:t>
        </w:r>
      </w:hyperlink>
      <w:r w:rsidRPr="00CF7035">
        <w:rPr>
          <w:rFonts w:ascii="Arial" w:eastAsia="Times New Roman" w:hAnsi="Arial" w:cs="Arial"/>
          <w:bCs/>
          <w:caps/>
          <w:kern w:val="36"/>
          <w:sz w:val="24"/>
          <w:szCs w:val="24"/>
          <w:lang w:val="en-US" w:eastAsia="es-ES"/>
        </w:rPr>
        <w:t xml:space="preserve"> </w:t>
      </w:r>
    </w:p>
    <w:p w:rsidR="008436D3" w:rsidRPr="00CF7035" w:rsidRDefault="008436D3" w:rsidP="00CF7035">
      <w:pPr>
        <w:tabs>
          <w:tab w:val="left" w:pos="340"/>
          <w:tab w:val="left" w:pos="680"/>
        </w:tabs>
        <w:spacing w:after="100" w:afterAutospacing="1"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 xml:space="preserve">3- Greenhalgh T, Knight M. Long COVID: A Primer for Family Physicians. Am </w:t>
      </w:r>
      <w:proofErr w:type="gramStart"/>
      <w:r w:rsidRPr="00CF7035">
        <w:rPr>
          <w:rFonts w:ascii="Arial" w:eastAsia="Batang" w:hAnsi="Arial" w:cs="Arial"/>
          <w:color w:val="000000"/>
          <w:sz w:val="24"/>
          <w:szCs w:val="24"/>
          <w:lang w:val="en-US" w:eastAsia="de-DE"/>
        </w:rPr>
        <w:t>Fam</w:t>
      </w:r>
      <w:proofErr w:type="gramEnd"/>
      <w:r w:rsidRPr="00CF7035">
        <w:rPr>
          <w:rFonts w:ascii="Arial" w:eastAsia="Batang" w:hAnsi="Arial" w:cs="Arial"/>
          <w:color w:val="000000"/>
          <w:sz w:val="24"/>
          <w:szCs w:val="24"/>
          <w:lang w:val="en-US" w:eastAsia="de-DE"/>
        </w:rPr>
        <w:t xml:space="preserve"> Physician. 2020; 102(12):716-7.</w:t>
      </w:r>
      <w:r w:rsidR="004D0CD7" w:rsidRPr="00CF7035">
        <w:rPr>
          <w:rFonts w:ascii="Arial" w:eastAsia="Times New Roman" w:hAnsi="Arial" w:cs="Arial"/>
          <w:bCs/>
          <w:caps/>
          <w:color w:val="000000"/>
          <w:kern w:val="36"/>
          <w:sz w:val="24"/>
          <w:szCs w:val="24"/>
          <w:lang w:val="en-US" w:eastAsia="es-ES"/>
        </w:rPr>
        <w:t xml:space="preserve"> [citado 28 Abr 2022]</w:t>
      </w:r>
    </w:p>
    <w:p w:rsidR="008436D3" w:rsidRPr="00CF7035" w:rsidRDefault="008436D3" w:rsidP="00CF7035">
      <w:pPr>
        <w:tabs>
          <w:tab w:val="left" w:pos="340"/>
          <w:tab w:val="left" w:pos="680"/>
        </w:tabs>
        <w:spacing w:after="100" w:afterAutospacing="1"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4- Greenhalgh T, Knight M, A’ Court C, Buxton M, Husain L. Management of post-acute covid-19 in primary care. BMJ. 2020; 370: m3026. DOI: 10.1136/bmj.m3026</w:t>
      </w:r>
      <w:r w:rsidR="004D0CD7" w:rsidRPr="00CF7035">
        <w:rPr>
          <w:rFonts w:ascii="Arial" w:eastAsia="Batang" w:hAnsi="Arial" w:cs="Arial"/>
          <w:color w:val="000000"/>
          <w:sz w:val="24"/>
          <w:szCs w:val="24"/>
          <w:lang w:val="en-US" w:eastAsia="de-DE"/>
        </w:rPr>
        <w:t>.</w:t>
      </w:r>
      <w:r w:rsidR="004D0CD7" w:rsidRPr="00CF7035">
        <w:rPr>
          <w:rFonts w:ascii="Arial" w:eastAsia="Times New Roman" w:hAnsi="Arial" w:cs="Arial"/>
          <w:bCs/>
          <w:caps/>
          <w:color w:val="000000"/>
          <w:kern w:val="36"/>
          <w:sz w:val="24"/>
          <w:szCs w:val="24"/>
          <w:lang w:val="en-US" w:eastAsia="es-ES"/>
        </w:rPr>
        <w:t xml:space="preserve"> [citado 28 Abr 2022]</w:t>
      </w:r>
      <w:r w:rsidRPr="00CF7035">
        <w:rPr>
          <w:rFonts w:ascii="Arial" w:eastAsia="Batang" w:hAnsi="Arial" w:cs="Arial"/>
          <w:color w:val="000000"/>
          <w:sz w:val="24"/>
          <w:szCs w:val="24"/>
          <w:lang w:val="en-US" w:eastAsia="de-DE"/>
        </w:rPr>
        <w:t xml:space="preserve"> </w:t>
      </w:r>
    </w:p>
    <w:p w:rsidR="008436D3" w:rsidRPr="00CF7035" w:rsidRDefault="008436D3" w:rsidP="00CF7035">
      <w:pPr>
        <w:tabs>
          <w:tab w:val="left" w:pos="340"/>
          <w:tab w:val="left" w:pos="680"/>
        </w:tabs>
        <w:spacing w:after="100" w:afterAutospacing="1" w:line="360" w:lineRule="auto"/>
        <w:ind w:firstLine="227"/>
        <w:jc w:val="both"/>
        <w:rPr>
          <w:rFonts w:ascii="Arial" w:eastAsia="Batang" w:hAnsi="Arial" w:cs="Arial"/>
          <w:color w:val="000000"/>
          <w:sz w:val="24"/>
          <w:szCs w:val="24"/>
          <w:lang w:val="en-US" w:eastAsia="de-DE"/>
        </w:rPr>
      </w:pPr>
      <w:r w:rsidRPr="00CF7035">
        <w:rPr>
          <w:rFonts w:ascii="Arial" w:eastAsia="Batang" w:hAnsi="Arial" w:cs="Arial"/>
          <w:color w:val="000000"/>
          <w:sz w:val="24"/>
          <w:szCs w:val="24"/>
          <w:lang w:val="en-US" w:eastAsia="de-DE"/>
        </w:rPr>
        <w:t>5- Del Rio C, Collins LF, Malani P. Long-term Health Consequences of COVID-19. JAMA. 2020. DOI: 10.1001/jama.2020.19719</w:t>
      </w:r>
      <w:r w:rsidR="004D0CD7" w:rsidRPr="00CF7035">
        <w:rPr>
          <w:rFonts w:ascii="Arial" w:eastAsia="Batang" w:hAnsi="Arial" w:cs="Arial"/>
          <w:color w:val="000000"/>
          <w:sz w:val="24"/>
          <w:szCs w:val="24"/>
          <w:lang w:val="en-US" w:eastAsia="de-DE"/>
        </w:rPr>
        <w:t>.</w:t>
      </w:r>
      <w:r w:rsidRPr="00CF7035">
        <w:rPr>
          <w:rFonts w:ascii="Arial" w:eastAsia="Batang" w:hAnsi="Arial" w:cs="Arial"/>
          <w:color w:val="000000"/>
          <w:sz w:val="24"/>
          <w:szCs w:val="24"/>
          <w:lang w:val="en-US" w:eastAsia="de-DE"/>
        </w:rPr>
        <w:t xml:space="preserve"> </w:t>
      </w:r>
    </w:p>
    <w:p w:rsidR="008048D5" w:rsidRPr="00CF7035" w:rsidRDefault="008048D5" w:rsidP="00CF7035">
      <w:pPr>
        <w:tabs>
          <w:tab w:val="left" w:pos="340"/>
          <w:tab w:val="left" w:pos="680"/>
        </w:tabs>
        <w:spacing w:after="100" w:afterAutospacing="1" w:line="360" w:lineRule="auto"/>
        <w:ind w:firstLine="227"/>
        <w:jc w:val="both"/>
        <w:rPr>
          <w:rFonts w:ascii="Arial" w:hAnsi="Arial" w:cs="Arial"/>
          <w:color w:val="000000"/>
          <w:sz w:val="24"/>
          <w:szCs w:val="24"/>
          <w:shd w:val="clear" w:color="auto" w:fill="FFFFFF"/>
        </w:rPr>
      </w:pPr>
      <w:r w:rsidRPr="00CF7035">
        <w:rPr>
          <w:rFonts w:ascii="Arial" w:hAnsi="Arial" w:cs="Arial"/>
          <w:color w:val="000000"/>
          <w:sz w:val="24"/>
          <w:szCs w:val="24"/>
          <w:shd w:val="clear" w:color="auto" w:fill="FFFFFF"/>
        </w:rPr>
        <w:t> 6-Ladds E, Rushforth A, Wieringa S, Taylor S, Rayner C, Husain L, et al. Persistent symptoms after COVID-19: qualitative study of 114 ‘long COVID’ patients and draft quality principles for services. BMC Health Serv Res 2020; 20: 1144.</w:t>
      </w:r>
    </w:p>
    <w:p w:rsidR="008048D5" w:rsidRPr="00CF7035" w:rsidRDefault="008048D5" w:rsidP="00CF7035">
      <w:pPr>
        <w:tabs>
          <w:tab w:val="left" w:pos="340"/>
          <w:tab w:val="left" w:pos="680"/>
        </w:tabs>
        <w:spacing w:after="100" w:afterAutospacing="1" w:line="360" w:lineRule="auto"/>
        <w:ind w:firstLine="227"/>
        <w:jc w:val="both"/>
        <w:rPr>
          <w:rFonts w:ascii="Arial" w:hAnsi="Arial" w:cs="Arial"/>
          <w:color w:val="000000"/>
          <w:sz w:val="24"/>
          <w:szCs w:val="24"/>
          <w:shd w:val="clear" w:color="auto" w:fill="FFFFFF"/>
        </w:rPr>
      </w:pPr>
      <w:r w:rsidRPr="00CF7035">
        <w:rPr>
          <w:rFonts w:ascii="Arial" w:hAnsi="Arial" w:cs="Arial"/>
          <w:color w:val="000000"/>
          <w:sz w:val="24"/>
          <w:szCs w:val="24"/>
          <w:shd w:val="clear" w:color="auto" w:fill="FFFFFF"/>
        </w:rPr>
        <w:t>7- Amsalem D, Dixon LB, Neria Y. The coronavirus disease 2019 (COVID-19) outbreak and mental health: current risks and recommended actions. JAMA Psychiatry 2021; 78: 9-10.</w:t>
      </w:r>
    </w:p>
    <w:p w:rsidR="008048D5" w:rsidRPr="00CF7035" w:rsidRDefault="008048D5" w:rsidP="00CF7035">
      <w:pPr>
        <w:tabs>
          <w:tab w:val="left" w:pos="340"/>
          <w:tab w:val="left" w:pos="680"/>
        </w:tabs>
        <w:spacing w:after="100" w:afterAutospacing="1" w:line="360" w:lineRule="auto"/>
        <w:ind w:firstLine="227"/>
        <w:jc w:val="both"/>
        <w:rPr>
          <w:rFonts w:ascii="Arial" w:eastAsia="Batang" w:hAnsi="Arial" w:cs="Arial"/>
          <w:color w:val="000000"/>
          <w:sz w:val="24"/>
          <w:szCs w:val="24"/>
          <w:lang w:val="en-US" w:eastAsia="de-DE"/>
        </w:rPr>
      </w:pPr>
      <w:r w:rsidRPr="00CF7035">
        <w:rPr>
          <w:rFonts w:ascii="Arial" w:hAnsi="Arial" w:cs="Arial"/>
          <w:color w:val="000000"/>
          <w:sz w:val="24"/>
          <w:szCs w:val="24"/>
          <w:shd w:val="clear" w:color="auto" w:fill="FFFFFF"/>
        </w:rPr>
        <w:t>8- Tomasoni D, Bai F, Castoldi R, Barbanotti D, Falcinella C, Mulè G, et al. Anxiety and depression symptoms after virological clearance of COVID-19: a cross-sectional study in Milan, Italy. J Med Virol 2021; 93: 1175-9.</w:t>
      </w:r>
    </w:p>
    <w:p w:rsidR="009B5AEE" w:rsidRPr="00CF7035" w:rsidRDefault="008048D5" w:rsidP="00CF7035">
      <w:pPr>
        <w:tabs>
          <w:tab w:val="left" w:pos="340"/>
          <w:tab w:val="left" w:pos="680"/>
        </w:tabs>
        <w:spacing w:after="100" w:afterAutospacing="1" w:line="360" w:lineRule="auto"/>
        <w:ind w:firstLine="227"/>
        <w:jc w:val="both"/>
        <w:rPr>
          <w:rFonts w:ascii="Arial" w:eastAsia="Batang" w:hAnsi="Arial" w:cs="Arial"/>
          <w:color w:val="000000"/>
          <w:sz w:val="24"/>
          <w:szCs w:val="24"/>
          <w:lang w:val="en-US" w:eastAsia="de-DE"/>
        </w:rPr>
      </w:pPr>
      <w:r w:rsidRPr="00CF7035">
        <w:rPr>
          <w:rFonts w:ascii="Arial" w:hAnsi="Arial" w:cs="Arial"/>
          <w:color w:val="000000"/>
          <w:sz w:val="24"/>
          <w:szCs w:val="24"/>
          <w:shd w:val="clear" w:color="auto" w:fill="FFFFFF"/>
        </w:rPr>
        <w:t>9</w:t>
      </w:r>
      <w:r w:rsidR="009B5AEE" w:rsidRPr="00CF7035">
        <w:rPr>
          <w:rFonts w:ascii="Arial" w:hAnsi="Arial" w:cs="Arial"/>
          <w:color w:val="000000"/>
          <w:sz w:val="24"/>
          <w:szCs w:val="24"/>
          <w:shd w:val="clear" w:color="auto" w:fill="FFFFFF"/>
        </w:rPr>
        <w:t>-Rogers JP, Chesney E, Oliver D, Pollak TA, McGuire P, Fusar-Poli P, et al. Psychiatric and neuropsychiatric presentations associated with severe coronavirus infections: a systematic review and meta-analysis with comparison to the COVID-19 pandemic. Lancet Psychiatry 2020; 7: 611-27.</w:t>
      </w:r>
    </w:p>
    <w:p w:rsidR="008436D3" w:rsidRPr="00CF7035" w:rsidRDefault="008048D5" w:rsidP="00CF7035">
      <w:pPr>
        <w:tabs>
          <w:tab w:val="left" w:pos="340"/>
          <w:tab w:val="left" w:pos="680"/>
        </w:tabs>
        <w:spacing w:before="100" w:beforeAutospacing="1" w:after="100" w:afterAutospacing="1" w:line="360" w:lineRule="auto"/>
        <w:ind w:firstLine="227"/>
        <w:jc w:val="both"/>
        <w:outlineLvl w:val="0"/>
        <w:rPr>
          <w:rFonts w:ascii="Arial" w:eastAsia="Batang" w:hAnsi="Arial" w:cs="Arial"/>
          <w:sz w:val="24"/>
          <w:szCs w:val="24"/>
          <w:lang w:val="en-US" w:eastAsia="de-DE"/>
        </w:rPr>
      </w:pPr>
      <w:r w:rsidRPr="00CF7035">
        <w:rPr>
          <w:rFonts w:ascii="Arial" w:eastAsia="Batang" w:hAnsi="Arial" w:cs="Arial"/>
          <w:color w:val="000000"/>
          <w:sz w:val="24"/>
          <w:szCs w:val="24"/>
          <w:lang w:val="en-US" w:eastAsia="de-DE"/>
        </w:rPr>
        <w:t>10</w:t>
      </w:r>
      <w:r w:rsidR="008436D3" w:rsidRPr="00CF7035">
        <w:rPr>
          <w:rFonts w:ascii="Arial" w:eastAsia="Batang" w:hAnsi="Arial" w:cs="Arial"/>
          <w:color w:val="000000"/>
          <w:sz w:val="24"/>
          <w:szCs w:val="24"/>
          <w:lang w:val="en-US" w:eastAsia="de-DE"/>
        </w:rPr>
        <w:t xml:space="preserve">- Sibila O, Molina-Molina M, Valenzuela C, </w:t>
      </w:r>
      <w:hyperlink r:id="rId13" w:anchor="!" w:history="1">
        <w:r w:rsidR="008436D3" w:rsidRPr="00CF7035">
          <w:rPr>
            <w:rFonts w:ascii="Arial" w:eastAsia="Batang" w:hAnsi="Arial" w:cs="Arial"/>
            <w:color w:val="000000"/>
            <w:sz w:val="24"/>
            <w:szCs w:val="24"/>
            <w:lang w:val="en-US" w:eastAsia="de-DE"/>
          </w:rPr>
          <w:t>Ríos-Cortés</w:t>
        </w:r>
      </w:hyperlink>
      <w:r w:rsidR="008436D3" w:rsidRPr="00CF7035">
        <w:rPr>
          <w:rFonts w:ascii="Arial" w:eastAsia="Batang" w:hAnsi="Arial" w:cs="Arial"/>
          <w:color w:val="000000"/>
          <w:sz w:val="24"/>
          <w:szCs w:val="24"/>
          <w:lang w:val="en-US" w:eastAsia="de-DE"/>
        </w:rPr>
        <w:t xml:space="preserve"> A, Arbillaga-Etxarri A, Torralba García Y et al. </w:t>
      </w:r>
      <w:r w:rsidR="008436D3" w:rsidRPr="00CF7035">
        <w:rPr>
          <w:rFonts w:ascii="Arial" w:eastAsia="Times New Roman" w:hAnsi="Arial" w:cs="Arial"/>
          <w:bCs/>
          <w:color w:val="000000"/>
          <w:kern w:val="36"/>
          <w:sz w:val="24"/>
          <w:szCs w:val="24"/>
          <w:lang w:val="en-US" w:eastAsia="de-DE"/>
        </w:rPr>
        <w:t>Documento de consenso de la Sociedad Española de Neumología y Cirugía Torácica (SEPAR) para el seguimiento clínico post-COVID-19</w:t>
      </w:r>
      <w:r w:rsidR="008436D3" w:rsidRPr="00CF7035">
        <w:rPr>
          <w:rFonts w:ascii="Arial" w:eastAsia="Batang" w:hAnsi="Arial" w:cs="Arial"/>
          <w:color w:val="000000"/>
          <w:sz w:val="24"/>
          <w:szCs w:val="24"/>
          <w:lang w:val="en-US" w:eastAsia="de-DE"/>
        </w:rPr>
        <w:t xml:space="preserve">. Open Respiratory Archives [Internet]. 2020 [citado 28 Abr 2022]; 2(4): [aprox. 4 p.]. Disponible en: </w:t>
      </w:r>
      <w:hyperlink r:id="rId14" w:history="1">
        <w:r w:rsidR="008436D3" w:rsidRPr="00CF7035">
          <w:rPr>
            <w:rFonts w:ascii="Arial" w:eastAsia="Batang" w:hAnsi="Arial" w:cs="Arial"/>
            <w:sz w:val="24"/>
            <w:szCs w:val="24"/>
            <w:lang w:val="en-US" w:eastAsia="de-DE"/>
          </w:rPr>
          <w:t>https://www.sciencedirect.com/science/article/pii/S2659663620300771</w:t>
        </w:r>
      </w:hyperlink>
      <w:r w:rsidR="008436D3" w:rsidRPr="00CF7035">
        <w:rPr>
          <w:rFonts w:ascii="Arial" w:eastAsia="Batang" w:hAnsi="Arial" w:cs="Arial"/>
          <w:sz w:val="24"/>
          <w:szCs w:val="24"/>
          <w:lang w:val="en-US" w:eastAsia="de-DE"/>
        </w:rPr>
        <w:t xml:space="preserve"> </w:t>
      </w:r>
    </w:p>
    <w:p w:rsidR="008436D3" w:rsidRPr="00CF7035" w:rsidRDefault="008048D5" w:rsidP="00CF7035">
      <w:pPr>
        <w:tabs>
          <w:tab w:val="left" w:pos="340"/>
          <w:tab w:val="left" w:pos="680"/>
        </w:tabs>
        <w:spacing w:before="100" w:beforeAutospacing="1" w:after="100" w:afterAutospacing="1" w:line="360" w:lineRule="auto"/>
        <w:ind w:firstLine="227"/>
        <w:jc w:val="both"/>
        <w:outlineLvl w:val="0"/>
        <w:rPr>
          <w:rFonts w:ascii="Arial" w:eastAsia="Times New Roman" w:hAnsi="Arial" w:cs="Arial"/>
          <w:color w:val="0000FF"/>
          <w:sz w:val="24"/>
          <w:szCs w:val="24"/>
          <w:u w:val="single"/>
          <w:lang w:val="en-US" w:eastAsia="es-ES"/>
        </w:rPr>
      </w:pPr>
      <w:r w:rsidRPr="00CF7035">
        <w:rPr>
          <w:rFonts w:ascii="Arial" w:eastAsia="Times New Roman" w:hAnsi="Arial" w:cs="Arial"/>
          <w:color w:val="000000"/>
          <w:sz w:val="24"/>
          <w:szCs w:val="24"/>
          <w:lang w:val="en-US" w:eastAsia="es-ES"/>
        </w:rPr>
        <w:lastRenderedPageBreak/>
        <w:t>11</w:t>
      </w:r>
      <w:r w:rsidR="008436D3" w:rsidRPr="00CF7035">
        <w:rPr>
          <w:rFonts w:ascii="Arial" w:eastAsia="Times New Roman" w:hAnsi="Arial" w:cs="Arial"/>
          <w:color w:val="000000"/>
          <w:sz w:val="24"/>
          <w:szCs w:val="24"/>
          <w:lang w:val="en-US" w:eastAsia="es-ES"/>
        </w:rPr>
        <w:t xml:space="preserve">-Soriano JB, Ancochea J. Sobre la nueva condición post COVID-19. Arch Bronconeumol [Internet]. 2021[citado 28 Abr 2022]; 57(12): 735–736.  Disponible en: </w:t>
      </w:r>
      <w:hyperlink r:id="rId15" w:history="1">
        <w:r w:rsidR="008436D3" w:rsidRPr="00CF7035">
          <w:rPr>
            <w:rFonts w:ascii="Arial" w:eastAsia="Times New Roman" w:hAnsi="Arial" w:cs="Arial"/>
            <w:color w:val="0000FF"/>
            <w:sz w:val="24"/>
            <w:szCs w:val="24"/>
            <w:u w:val="single"/>
            <w:lang w:val="en-US" w:eastAsia="es-ES"/>
          </w:rPr>
          <w:t>https://www.ncbi.nlm.nih.gov/pmc/articles/PMC8051002/</w:t>
        </w:r>
      </w:hyperlink>
    </w:p>
    <w:p w:rsidR="00E8059C" w:rsidRPr="00CF7035" w:rsidRDefault="008048D5" w:rsidP="00CF7035">
      <w:pPr>
        <w:tabs>
          <w:tab w:val="left" w:pos="340"/>
          <w:tab w:val="left" w:pos="680"/>
        </w:tabs>
        <w:spacing w:before="100" w:beforeAutospacing="1" w:after="100" w:afterAutospacing="1" w:line="360" w:lineRule="auto"/>
        <w:jc w:val="both"/>
        <w:outlineLvl w:val="0"/>
        <w:rPr>
          <w:rFonts w:ascii="Arial" w:hAnsi="Arial" w:cs="Arial"/>
          <w:color w:val="000000"/>
          <w:sz w:val="24"/>
          <w:szCs w:val="24"/>
        </w:rPr>
      </w:pPr>
      <w:r w:rsidRPr="00CF7035">
        <w:rPr>
          <w:rFonts w:ascii="Arial" w:eastAsia="Times New Roman" w:hAnsi="Arial" w:cs="Arial"/>
          <w:color w:val="0000FF"/>
          <w:sz w:val="24"/>
          <w:szCs w:val="24"/>
          <w:u w:val="single"/>
          <w:lang w:val="en-US" w:eastAsia="es-ES"/>
        </w:rPr>
        <w:t>12</w:t>
      </w:r>
      <w:r w:rsidR="00E8059C" w:rsidRPr="00CF7035">
        <w:rPr>
          <w:rFonts w:ascii="Arial" w:eastAsia="Times New Roman" w:hAnsi="Arial" w:cs="Arial"/>
          <w:color w:val="0000FF"/>
          <w:sz w:val="24"/>
          <w:szCs w:val="24"/>
          <w:u w:val="single"/>
          <w:lang w:val="en-US" w:eastAsia="es-ES"/>
        </w:rPr>
        <w:t xml:space="preserve">- </w:t>
      </w:r>
      <w:r w:rsidR="00E8059C" w:rsidRPr="00CF7035">
        <w:rPr>
          <w:rFonts w:ascii="Arial" w:hAnsi="Arial" w:cs="Arial"/>
          <w:color w:val="000000"/>
          <w:sz w:val="24"/>
          <w:szCs w:val="24"/>
        </w:rPr>
        <w:t>Xiao F, Tang M, Zheng X, Liu Y, Li X, Shan H. Evidence for Gastrointestinal Infection of SARS-CoV-2. Gastroenterology. 2020 [</w:t>
      </w:r>
      <w:r w:rsidR="00E8059C" w:rsidRPr="00CF7035">
        <w:rPr>
          <w:rFonts w:ascii="Arial" w:eastAsia="Times New Roman" w:hAnsi="Arial" w:cs="Arial"/>
          <w:color w:val="000000"/>
          <w:sz w:val="24"/>
          <w:szCs w:val="24"/>
          <w:lang w:val="en-US" w:eastAsia="es-ES"/>
        </w:rPr>
        <w:t>citado 28 Abr 2022</w:t>
      </w:r>
      <w:r w:rsidR="00E8059C" w:rsidRPr="00CF7035">
        <w:rPr>
          <w:rFonts w:ascii="Arial" w:hAnsi="Arial" w:cs="Arial"/>
          <w:color w:val="000000"/>
          <w:sz w:val="24"/>
          <w:szCs w:val="24"/>
        </w:rPr>
        <w:t>]</w:t>
      </w:r>
      <w:proofErr w:type="gramStart"/>
      <w:r w:rsidR="00E8059C" w:rsidRPr="00CF7035">
        <w:rPr>
          <w:rFonts w:ascii="Arial" w:hAnsi="Arial" w:cs="Arial"/>
          <w:color w:val="000000"/>
          <w:sz w:val="24"/>
          <w:szCs w:val="24"/>
        </w:rPr>
        <w:t>;158</w:t>
      </w:r>
      <w:proofErr w:type="gramEnd"/>
      <w:r w:rsidR="00E8059C" w:rsidRPr="00CF7035">
        <w:rPr>
          <w:rFonts w:ascii="Arial" w:hAnsi="Arial" w:cs="Arial"/>
          <w:color w:val="000000"/>
          <w:sz w:val="24"/>
          <w:szCs w:val="24"/>
        </w:rPr>
        <w:t xml:space="preserve">(6):1831-33.e3. Disponible en: </w:t>
      </w:r>
      <w:hyperlink r:id="rId16" w:anchor="!/content/journal/1-s2.0-S0016508520302821" w:history="1">
        <w:r w:rsidR="00F751A6" w:rsidRPr="00CF7035">
          <w:rPr>
            <w:rStyle w:val="Hipervnculo"/>
            <w:rFonts w:ascii="Arial" w:hAnsi="Arial" w:cs="Arial"/>
            <w:sz w:val="24"/>
            <w:szCs w:val="24"/>
          </w:rPr>
          <w:t>https://www.clinicalkey.es/#!/content/journal/1-s2.0-S0016508520302821</w:t>
        </w:r>
      </w:hyperlink>
    </w:p>
    <w:p w:rsidR="00F751A6" w:rsidRPr="00CF7035" w:rsidRDefault="00F751A6" w:rsidP="00CF7035">
      <w:pPr>
        <w:tabs>
          <w:tab w:val="left" w:pos="340"/>
          <w:tab w:val="left" w:pos="680"/>
        </w:tabs>
        <w:spacing w:before="100" w:beforeAutospacing="1" w:after="100" w:afterAutospacing="1" w:line="360" w:lineRule="auto"/>
        <w:jc w:val="both"/>
        <w:outlineLvl w:val="0"/>
        <w:rPr>
          <w:rFonts w:ascii="Arial" w:hAnsi="Arial" w:cs="Arial"/>
          <w:color w:val="000000"/>
          <w:sz w:val="24"/>
          <w:szCs w:val="24"/>
          <w:shd w:val="clear" w:color="auto" w:fill="FFFFFF"/>
        </w:rPr>
      </w:pPr>
      <w:r w:rsidRPr="00CF7035">
        <w:rPr>
          <w:rFonts w:ascii="Arial" w:hAnsi="Arial" w:cs="Arial"/>
          <w:color w:val="000000"/>
          <w:sz w:val="24"/>
          <w:szCs w:val="24"/>
        </w:rPr>
        <w:t xml:space="preserve">13- </w:t>
      </w:r>
      <w:r w:rsidRPr="00CF7035">
        <w:rPr>
          <w:rFonts w:ascii="Arial" w:hAnsi="Arial" w:cs="Arial"/>
          <w:color w:val="000000"/>
          <w:sz w:val="24"/>
          <w:szCs w:val="24"/>
          <w:shd w:val="clear" w:color="auto" w:fill="FFFFFF"/>
        </w:rPr>
        <w:t>Taquet M, Geddes JR, Husain M, Luciano S, Harrison PJ. 6-month neurological and psychiatric outcomes in 236379 survivors of COVID-19: a retrospective cohort study using electronic health records. Lancet Psychiatry 2021; 8: 416-27.</w:t>
      </w:r>
    </w:p>
    <w:p w:rsidR="0073178A" w:rsidRPr="00CF7035" w:rsidRDefault="0073178A" w:rsidP="00CF7035">
      <w:pPr>
        <w:tabs>
          <w:tab w:val="left" w:pos="340"/>
          <w:tab w:val="left" w:pos="680"/>
        </w:tabs>
        <w:spacing w:before="100" w:beforeAutospacing="1" w:after="100" w:afterAutospacing="1" w:line="360" w:lineRule="auto"/>
        <w:jc w:val="both"/>
        <w:outlineLvl w:val="0"/>
        <w:rPr>
          <w:rFonts w:ascii="Arial" w:hAnsi="Arial" w:cs="Arial"/>
          <w:color w:val="000000"/>
          <w:sz w:val="24"/>
          <w:szCs w:val="24"/>
          <w:shd w:val="clear" w:color="auto" w:fill="FFFFFF"/>
        </w:rPr>
      </w:pPr>
      <w:r w:rsidRPr="00CF7035">
        <w:rPr>
          <w:rFonts w:ascii="Arial" w:hAnsi="Arial" w:cs="Arial"/>
          <w:color w:val="000000"/>
          <w:sz w:val="24"/>
          <w:szCs w:val="24"/>
          <w:shd w:val="clear" w:color="auto" w:fill="FFFFFF"/>
        </w:rPr>
        <w:t>14- Huang C, Huang L, Wang Y, Li X, Ren L, Gu X, et al. 6-month consequences of COVID-19 in patients discharged from hospital: a cohort study. Lancet 2021; 397: 220-32.</w:t>
      </w:r>
    </w:p>
    <w:p w:rsidR="00BC1B1C" w:rsidRPr="00CF7035" w:rsidRDefault="00BC1B1C" w:rsidP="00CF7035">
      <w:pPr>
        <w:tabs>
          <w:tab w:val="left" w:pos="340"/>
          <w:tab w:val="left" w:pos="680"/>
        </w:tabs>
        <w:spacing w:before="100" w:beforeAutospacing="1" w:after="100" w:afterAutospacing="1" w:line="360" w:lineRule="auto"/>
        <w:jc w:val="both"/>
        <w:outlineLvl w:val="0"/>
        <w:rPr>
          <w:rFonts w:ascii="Arial" w:eastAsia="Times New Roman" w:hAnsi="Arial" w:cs="Arial"/>
          <w:color w:val="0000FF"/>
          <w:sz w:val="24"/>
          <w:szCs w:val="24"/>
          <w:u w:val="single"/>
          <w:lang w:val="en-US" w:eastAsia="es-ES"/>
        </w:rPr>
      </w:pPr>
      <w:r w:rsidRPr="00CF7035">
        <w:rPr>
          <w:rFonts w:ascii="Arial" w:hAnsi="Arial" w:cs="Arial"/>
          <w:color w:val="000000"/>
          <w:sz w:val="24"/>
          <w:szCs w:val="24"/>
          <w:shd w:val="clear" w:color="auto" w:fill="FFFFFF"/>
        </w:rPr>
        <w:t xml:space="preserve">15- Davis HE, Assaf GS, McCorkell L, Wei H, Low RJ, Re’em Y, et al. Characterizing long COVID in an international cohort: 7 months of symptoms and their impact. </w:t>
      </w:r>
      <w:proofErr w:type="gramStart"/>
      <w:r w:rsidRPr="00CF7035">
        <w:rPr>
          <w:rFonts w:ascii="Arial" w:hAnsi="Arial" w:cs="Arial"/>
          <w:color w:val="000000"/>
          <w:sz w:val="24"/>
          <w:szCs w:val="24"/>
          <w:shd w:val="clear" w:color="auto" w:fill="FFFFFF"/>
        </w:rPr>
        <w:t>medRxiv</w:t>
      </w:r>
      <w:proofErr w:type="gramEnd"/>
      <w:r w:rsidRPr="00CF7035">
        <w:rPr>
          <w:rFonts w:ascii="Arial" w:hAnsi="Arial" w:cs="Arial"/>
          <w:color w:val="000000"/>
          <w:sz w:val="24"/>
          <w:szCs w:val="24"/>
          <w:shd w:val="clear" w:color="auto" w:fill="FFFFFF"/>
        </w:rPr>
        <w:t xml:space="preserve"> preprint. </w:t>
      </w:r>
      <w:proofErr w:type="gramStart"/>
      <w:r w:rsidRPr="00CF7035">
        <w:rPr>
          <w:rFonts w:ascii="Arial" w:hAnsi="Arial" w:cs="Arial"/>
          <w:color w:val="000000"/>
          <w:sz w:val="24"/>
          <w:szCs w:val="24"/>
          <w:shd w:val="clear" w:color="auto" w:fill="FFFFFF"/>
        </w:rPr>
        <w:t>https</w:t>
      </w:r>
      <w:proofErr w:type="gramEnd"/>
      <w:r w:rsidRPr="00CF7035">
        <w:rPr>
          <w:rFonts w:ascii="Arial" w:hAnsi="Arial" w:cs="Arial"/>
          <w:color w:val="000000"/>
          <w:sz w:val="24"/>
          <w:szCs w:val="24"/>
          <w:shd w:val="clear" w:color="auto" w:fill="FFFFFF"/>
        </w:rPr>
        <w:t>: //doi.org/10.1101/2020.12.24.20248802v2.ful</w:t>
      </w:r>
      <w:r w:rsidR="004D0CD7" w:rsidRPr="00CF7035">
        <w:rPr>
          <w:rFonts w:ascii="Arial" w:hAnsi="Arial" w:cs="Arial"/>
          <w:color w:val="000000"/>
          <w:sz w:val="24"/>
          <w:szCs w:val="24"/>
          <w:shd w:val="clear" w:color="auto" w:fill="FFFFFF"/>
        </w:rPr>
        <w:t>l.pdf. Fecha última consulta: 28/abril/2022</w:t>
      </w:r>
      <w:r w:rsidRPr="00CF7035">
        <w:rPr>
          <w:rFonts w:ascii="Arial" w:hAnsi="Arial" w:cs="Arial"/>
          <w:color w:val="000000"/>
          <w:sz w:val="24"/>
          <w:szCs w:val="24"/>
          <w:shd w:val="clear" w:color="auto" w:fill="FFFFFF"/>
        </w:rPr>
        <w:t>.</w:t>
      </w:r>
    </w:p>
    <w:p w:rsidR="008436D3" w:rsidRPr="00CF7035" w:rsidRDefault="008436D3" w:rsidP="00CF7035">
      <w:pPr>
        <w:keepNext/>
        <w:keepLines/>
        <w:tabs>
          <w:tab w:val="left" w:pos="340"/>
          <w:tab w:val="left" w:pos="680"/>
        </w:tabs>
        <w:suppressAutoHyphens/>
        <w:spacing w:before="400" w:after="200" w:line="360" w:lineRule="auto"/>
        <w:contextualSpacing/>
        <w:jc w:val="both"/>
        <w:outlineLvl w:val="0"/>
        <w:rPr>
          <w:rFonts w:ascii="Arial" w:eastAsia="Batang" w:hAnsi="Arial" w:cs="Arial"/>
          <w:bCs/>
          <w:caps/>
          <w:snapToGrid w:val="0"/>
          <w:kern w:val="32"/>
          <w:sz w:val="24"/>
          <w:szCs w:val="24"/>
          <w:lang w:val="en-US"/>
        </w:rPr>
      </w:pPr>
    </w:p>
    <w:p w:rsidR="008436D3" w:rsidRPr="00CF7035" w:rsidRDefault="008436D3" w:rsidP="00CF7035">
      <w:pPr>
        <w:keepLines/>
        <w:tabs>
          <w:tab w:val="num" w:pos="340"/>
          <w:tab w:val="left" w:pos="680"/>
        </w:tabs>
        <w:autoSpaceDE w:val="0"/>
        <w:autoSpaceDN w:val="0"/>
        <w:spacing w:after="0" w:line="360" w:lineRule="auto"/>
        <w:ind w:left="340" w:hanging="340"/>
        <w:jc w:val="both"/>
        <w:rPr>
          <w:rFonts w:ascii="Arial" w:eastAsia="MS Mincho" w:hAnsi="Arial" w:cs="Arial"/>
          <w:sz w:val="24"/>
          <w:szCs w:val="24"/>
        </w:rPr>
      </w:pPr>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vertAlign w:val="superscript"/>
          <w:lang w:val="en-US" w:eastAsia="de-DE"/>
        </w:rPr>
      </w:pPr>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vertAlign w:val="superscript"/>
          <w:lang w:val="en-US" w:eastAsia="de-DE"/>
        </w:rPr>
      </w:pPr>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lang w:val="en-US" w:eastAsia="de-DE"/>
        </w:rPr>
      </w:pPr>
    </w:p>
    <w:p w:rsidR="008436D3" w:rsidRPr="00CF7035" w:rsidRDefault="008436D3" w:rsidP="00CF7035">
      <w:pPr>
        <w:tabs>
          <w:tab w:val="left" w:pos="340"/>
          <w:tab w:val="left" w:pos="680"/>
        </w:tabs>
        <w:spacing w:after="0" w:line="360" w:lineRule="auto"/>
        <w:ind w:firstLine="227"/>
        <w:jc w:val="both"/>
        <w:rPr>
          <w:rFonts w:ascii="Arial" w:eastAsia="Batang" w:hAnsi="Arial" w:cs="Arial"/>
          <w:sz w:val="24"/>
          <w:szCs w:val="24"/>
          <w:lang w:val="en-US" w:eastAsia="de-DE"/>
        </w:rPr>
      </w:pPr>
    </w:p>
    <w:p w:rsidR="008436D3" w:rsidRPr="00CF7035" w:rsidRDefault="008436D3" w:rsidP="00CF7035">
      <w:pPr>
        <w:tabs>
          <w:tab w:val="left" w:pos="340"/>
          <w:tab w:val="left" w:pos="680"/>
        </w:tabs>
        <w:spacing w:after="0" w:line="360" w:lineRule="auto"/>
        <w:ind w:firstLine="227"/>
        <w:jc w:val="both"/>
        <w:rPr>
          <w:rFonts w:ascii="Arial" w:eastAsia="Batang" w:hAnsi="Arial" w:cs="Arial"/>
          <w:color w:val="FF0000"/>
          <w:sz w:val="24"/>
          <w:szCs w:val="24"/>
          <w:lang w:val="en-US" w:eastAsia="de-DE"/>
        </w:rPr>
      </w:pPr>
    </w:p>
    <w:p w:rsidR="008436D3" w:rsidRPr="00CF7035" w:rsidRDefault="008436D3" w:rsidP="00CF7035">
      <w:pPr>
        <w:tabs>
          <w:tab w:val="left" w:pos="340"/>
          <w:tab w:val="left" w:pos="680"/>
        </w:tabs>
        <w:spacing w:after="0" w:line="360" w:lineRule="auto"/>
        <w:ind w:firstLine="227"/>
        <w:jc w:val="both"/>
        <w:rPr>
          <w:rFonts w:ascii="Arial" w:eastAsia="Batang" w:hAnsi="Arial" w:cs="Arial"/>
          <w:b/>
          <w:color w:val="000000"/>
          <w:sz w:val="24"/>
          <w:szCs w:val="24"/>
          <w:lang w:val="en-US" w:eastAsia="de-DE"/>
        </w:rPr>
      </w:pPr>
    </w:p>
    <w:p w:rsidR="008436D3" w:rsidRPr="00CF7035" w:rsidRDefault="008436D3" w:rsidP="00CF7035">
      <w:pPr>
        <w:widowControl w:val="0"/>
        <w:tabs>
          <w:tab w:val="left" w:pos="340"/>
          <w:tab w:val="left" w:pos="680"/>
        </w:tabs>
        <w:autoSpaceDE w:val="0"/>
        <w:autoSpaceDN w:val="0"/>
        <w:adjustRightInd w:val="0"/>
        <w:spacing w:after="0" w:line="360" w:lineRule="auto"/>
        <w:ind w:firstLine="227"/>
        <w:jc w:val="both"/>
        <w:rPr>
          <w:rFonts w:ascii="Arial" w:eastAsia="Batang" w:hAnsi="Arial" w:cs="Arial"/>
          <w:color w:val="FF0000"/>
          <w:sz w:val="24"/>
          <w:szCs w:val="24"/>
          <w:lang w:val="en-US" w:eastAsia="de-DE"/>
        </w:rPr>
      </w:pPr>
    </w:p>
    <w:p w:rsidR="008436D3" w:rsidRPr="00CF7035" w:rsidRDefault="008436D3" w:rsidP="00CF7035">
      <w:pPr>
        <w:spacing w:line="360" w:lineRule="auto"/>
        <w:jc w:val="both"/>
        <w:rPr>
          <w:rFonts w:ascii="Arial" w:hAnsi="Arial" w:cs="Arial"/>
          <w:sz w:val="24"/>
          <w:szCs w:val="24"/>
        </w:rPr>
      </w:pPr>
    </w:p>
    <w:sectPr w:rsidR="008436D3" w:rsidRPr="00CF7035" w:rsidSect="00CF7035">
      <w:footerReference w:type="default" r:id="rId17"/>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EF2" w:rsidRDefault="008F6EF2" w:rsidP="0074475C">
      <w:pPr>
        <w:spacing w:after="0" w:line="240" w:lineRule="auto"/>
      </w:pPr>
      <w:r>
        <w:separator/>
      </w:r>
    </w:p>
  </w:endnote>
  <w:endnote w:type="continuationSeparator" w:id="0">
    <w:p w:rsidR="008F6EF2" w:rsidRDefault="008F6EF2" w:rsidP="0074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727246"/>
      <w:docPartObj>
        <w:docPartGallery w:val="Page Numbers (Bottom of Page)"/>
        <w:docPartUnique/>
      </w:docPartObj>
    </w:sdtPr>
    <w:sdtEndPr/>
    <w:sdtContent>
      <w:p w:rsidR="0074475C" w:rsidRDefault="0074475C">
        <w:pPr>
          <w:pStyle w:val="Piedepgina"/>
          <w:jc w:val="right"/>
        </w:pPr>
        <w:r>
          <w:fldChar w:fldCharType="begin"/>
        </w:r>
        <w:r>
          <w:instrText>PAGE   \* MERGEFORMAT</w:instrText>
        </w:r>
        <w:r>
          <w:fldChar w:fldCharType="separate"/>
        </w:r>
        <w:r w:rsidR="001928A2">
          <w:rPr>
            <w:noProof/>
          </w:rPr>
          <w:t>10</w:t>
        </w:r>
        <w:r>
          <w:fldChar w:fldCharType="end"/>
        </w:r>
      </w:p>
    </w:sdtContent>
  </w:sdt>
  <w:p w:rsidR="0074475C" w:rsidRDefault="007447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EF2" w:rsidRDefault="008F6EF2" w:rsidP="0074475C">
      <w:pPr>
        <w:spacing w:after="0" w:line="240" w:lineRule="auto"/>
      </w:pPr>
      <w:r>
        <w:separator/>
      </w:r>
    </w:p>
  </w:footnote>
  <w:footnote w:type="continuationSeparator" w:id="0">
    <w:p w:rsidR="008F6EF2" w:rsidRDefault="008F6EF2" w:rsidP="00744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34241"/>
    <w:multiLevelType w:val="hybridMultilevel"/>
    <w:tmpl w:val="E24E8448"/>
    <w:lvl w:ilvl="0" w:tplc="54E2C5E2">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27413B9"/>
    <w:multiLevelType w:val="hybridMultilevel"/>
    <w:tmpl w:val="E24E8448"/>
    <w:lvl w:ilvl="0" w:tplc="54E2C5E2">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AE"/>
    <w:rsid w:val="0012511A"/>
    <w:rsid w:val="001928A2"/>
    <w:rsid w:val="00364AF1"/>
    <w:rsid w:val="00444D6D"/>
    <w:rsid w:val="004A7F28"/>
    <w:rsid w:val="004B2E5E"/>
    <w:rsid w:val="004D0CD7"/>
    <w:rsid w:val="0050247E"/>
    <w:rsid w:val="00512F57"/>
    <w:rsid w:val="00521D53"/>
    <w:rsid w:val="0058102B"/>
    <w:rsid w:val="005E1540"/>
    <w:rsid w:val="00621BD7"/>
    <w:rsid w:val="006A2007"/>
    <w:rsid w:val="0073178A"/>
    <w:rsid w:val="0074475C"/>
    <w:rsid w:val="00765656"/>
    <w:rsid w:val="0080187D"/>
    <w:rsid w:val="008048D5"/>
    <w:rsid w:val="008436D3"/>
    <w:rsid w:val="008A35E2"/>
    <w:rsid w:val="008B21E8"/>
    <w:rsid w:val="008C3246"/>
    <w:rsid w:val="008C6DFB"/>
    <w:rsid w:val="008E11DD"/>
    <w:rsid w:val="008F6EF2"/>
    <w:rsid w:val="00984B4F"/>
    <w:rsid w:val="009B5AEE"/>
    <w:rsid w:val="00A463A9"/>
    <w:rsid w:val="00AC4422"/>
    <w:rsid w:val="00BC1B1C"/>
    <w:rsid w:val="00C7296F"/>
    <w:rsid w:val="00C903AE"/>
    <w:rsid w:val="00CD68B4"/>
    <w:rsid w:val="00CF7035"/>
    <w:rsid w:val="00DA66CF"/>
    <w:rsid w:val="00E8059C"/>
    <w:rsid w:val="00EA7122"/>
    <w:rsid w:val="00F42E94"/>
    <w:rsid w:val="00F525F2"/>
    <w:rsid w:val="00F751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18B95C-D3DC-47D3-815A-8144F69B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5AEE"/>
    <w:rPr>
      <w:color w:val="0000FF"/>
      <w:u w:val="single"/>
    </w:rPr>
  </w:style>
  <w:style w:type="paragraph" w:styleId="Encabezado">
    <w:name w:val="header"/>
    <w:basedOn w:val="Normal"/>
    <w:link w:val="EncabezadoCar"/>
    <w:uiPriority w:val="99"/>
    <w:unhideWhenUsed/>
    <w:rsid w:val="007447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475C"/>
  </w:style>
  <w:style w:type="paragraph" w:styleId="Piedepgina">
    <w:name w:val="footer"/>
    <w:basedOn w:val="Normal"/>
    <w:link w:val="PiedepginaCar"/>
    <w:uiPriority w:val="99"/>
    <w:unhideWhenUsed/>
    <w:rsid w:val="007447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475C"/>
  </w:style>
  <w:style w:type="paragraph" w:styleId="Prrafodelista">
    <w:name w:val="List Paragraph"/>
    <w:basedOn w:val="Normal"/>
    <w:uiPriority w:val="34"/>
    <w:qFormat/>
    <w:rsid w:val="00A46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4439">
      <w:bodyDiv w:val="1"/>
      <w:marLeft w:val="0"/>
      <w:marRight w:val="0"/>
      <w:marTop w:val="0"/>
      <w:marBottom w:val="0"/>
      <w:divBdr>
        <w:top w:val="none" w:sz="0" w:space="0" w:color="auto"/>
        <w:left w:val="none" w:sz="0" w:space="0" w:color="auto"/>
        <w:bottom w:val="none" w:sz="0" w:space="0" w:color="auto"/>
        <w:right w:val="none" w:sz="0" w:space="0" w:color="auto"/>
      </w:divBdr>
    </w:div>
    <w:div w:id="137455997">
      <w:bodyDiv w:val="1"/>
      <w:marLeft w:val="0"/>
      <w:marRight w:val="0"/>
      <w:marTop w:val="0"/>
      <w:marBottom w:val="0"/>
      <w:divBdr>
        <w:top w:val="none" w:sz="0" w:space="0" w:color="auto"/>
        <w:left w:val="none" w:sz="0" w:space="0" w:color="auto"/>
        <w:bottom w:val="none" w:sz="0" w:space="0" w:color="auto"/>
        <w:right w:val="none" w:sz="0" w:space="0" w:color="auto"/>
      </w:divBdr>
    </w:div>
    <w:div w:id="7518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idisduranflores@gmail.com" TargetMode="External"/><Relationship Id="rId13" Type="http://schemas.openxmlformats.org/officeDocument/2006/relationships/hyperlink" Target="https://www.sciencedirect.com/science/article/pii/S265966362030077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xliduranflores@gmail.com" TargetMode="External"/><Relationship Id="rId12" Type="http://schemas.openxmlformats.org/officeDocument/2006/relationships/hyperlink" Target="https://www.ncbi.nlm.nih.gov/pmc/articles/PMC832956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linicalkey.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ljournal.com.co/index.php/mj/article/download/40/80" TargetMode="External"/><Relationship Id="rId5" Type="http://schemas.openxmlformats.org/officeDocument/2006/relationships/footnotes" Target="footnotes.xml"/><Relationship Id="rId15" Type="http://schemas.openxmlformats.org/officeDocument/2006/relationships/hyperlink" Target="https://www.ncbi.nlm.nih.gov/pmc/articles/PMC8051002/" TargetMode="External"/><Relationship Id="rId10" Type="http://schemas.openxmlformats.org/officeDocument/2006/relationships/hyperlink" Target="mailto:yariuskafs@infomed.sld.c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sbanrodriguez@nauta.cu" TargetMode="External"/><Relationship Id="rId14" Type="http://schemas.openxmlformats.org/officeDocument/2006/relationships/hyperlink" Target="https://www.sciencedirect.com/science/article/pii/S26596636203007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10</Pages>
  <Words>2793</Words>
  <Characters>15367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dc:creator>
  <cp:keywords/>
  <dc:description/>
  <cp:lastModifiedBy>Dr Alexander</cp:lastModifiedBy>
  <cp:revision>22</cp:revision>
  <dcterms:created xsi:type="dcterms:W3CDTF">2022-06-30T16:44:00Z</dcterms:created>
  <dcterms:modified xsi:type="dcterms:W3CDTF">2022-07-03T05:00:00Z</dcterms:modified>
</cp:coreProperties>
</file>