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15" w:rsidRPr="00781215" w:rsidRDefault="00781215" w:rsidP="00843B5E">
      <w:pPr>
        <w:spacing w:line="360" w:lineRule="auto"/>
        <w:jc w:val="center"/>
        <w:rPr>
          <w:rFonts w:ascii="Arial" w:hAnsi="Arial" w:cs="Arial"/>
          <w:sz w:val="24"/>
          <w:szCs w:val="24"/>
        </w:rPr>
      </w:pPr>
      <w:r w:rsidRPr="00781215">
        <w:rPr>
          <w:rFonts w:ascii="Arial" w:hAnsi="Arial" w:cs="Arial"/>
          <w:sz w:val="24"/>
          <w:szCs w:val="24"/>
        </w:rPr>
        <w:t>Universidad de Ciencias Médicas de Holguín</w:t>
      </w:r>
    </w:p>
    <w:p w:rsidR="00781215" w:rsidRPr="00781215" w:rsidRDefault="00781215" w:rsidP="00843B5E">
      <w:pPr>
        <w:spacing w:line="360" w:lineRule="auto"/>
        <w:jc w:val="center"/>
        <w:rPr>
          <w:rFonts w:ascii="Arial" w:hAnsi="Arial" w:cs="Arial"/>
          <w:sz w:val="24"/>
          <w:szCs w:val="24"/>
        </w:rPr>
      </w:pPr>
      <w:r w:rsidRPr="00781215">
        <w:rPr>
          <w:rFonts w:ascii="Arial" w:hAnsi="Arial" w:cs="Arial"/>
          <w:sz w:val="24"/>
          <w:szCs w:val="24"/>
        </w:rPr>
        <w:t>Facultad ‘‘Mariana Grajales Coello’’</w:t>
      </w:r>
    </w:p>
    <w:p w:rsidR="00781215" w:rsidRPr="00843B5E" w:rsidRDefault="00781215" w:rsidP="00781215">
      <w:pPr>
        <w:spacing w:line="360" w:lineRule="auto"/>
        <w:jc w:val="both"/>
        <w:rPr>
          <w:rFonts w:ascii="Arial" w:hAnsi="Arial" w:cs="Arial"/>
          <w:b/>
          <w:sz w:val="24"/>
          <w:szCs w:val="24"/>
          <w:lang w:val="en-US"/>
        </w:rPr>
      </w:pPr>
      <w:r w:rsidRPr="00843B5E">
        <w:rPr>
          <w:rFonts w:ascii="Arial" w:hAnsi="Arial" w:cs="Arial"/>
          <w:b/>
          <w:sz w:val="24"/>
          <w:szCs w:val="24"/>
        </w:rPr>
        <w:t xml:space="preserve">Uso del Vimang. Consultorio médico 22, Policlínico Pedro Díaz Coello. </w:t>
      </w:r>
      <w:r w:rsidRPr="00843B5E">
        <w:rPr>
          <w:rFonts w:ascii="Arial" w:hAnsi="Arial" w:cs="Arial"/>
          <w:b/>
          <w:sz w:val="24"/>
          <w:szCs w:val="24"/>
          <w:lang w:val="en-US"/>
        </w:rPr>
        <w:t>Enero a marzo, 2020</w:t>
      </w:r>
    </w:p>
    <w:p w:rsidR="00213467" w:rsidRPr="00781215" w:rsidRDefault="00213467" w:rsidP="00213467">
      <w:pPr>
        <w:spacing w:line="360" w:lineRule="auto"/>
        <w:jc w:val="both"/>
        <w:rPr>
          <w:rFonts w:ascii="Arial" w:hAnsi="Arial" w:cs="Arial"/>
          <w:sz w:val="24"/>
          <w:szCs w:val="24"/>
        </w:rPr>
      </w:pPr>
      <w:r>
        <w:rPr>
          <w:rFonts w:ascii="Arial" w:hAnsi="Arial" w:cs="Arial"/>
          <w:sz w:val="24"/>
          <w:szCs w:val="24"/>
        </w:rPr>
        <w:t>Autora</w:t>
      </w:r>
      <w:r w:rsidR="00781215" w:rsidRPr="00781215">
        <w:rPr>
          <w:rFonts w:ascii="Arial" w:hAnsi="Arial" w:cs="Arial"/>
          <w:sz w:val="24"/>
          <w:szCs w:val="24"/>
        </w:rPr>
        <w:t xml:space="preserve">: </w:t>
      </w:r>
      <w:r w:rsidRPr="00781215">
        <w:rPr>
          <w:rFonts w:ascii="Arial" w:hAnsi="Arial" w:cs="Arial"/>
          <w:sz w:val="24"/>
          <w:szCs w:val="24"/>
        </w:rPr>
        <w:t>Dianet Saray Peña Ramírez</w:t>
      </w:r>
      <w:r w:rsidRPr="00213467">
        <w:rPr>
          <w:rFonts w:ascii="Arial" w:hAnsi="Arial" w:cs="Arial"/>
          <w:sz w:val="24"/>
          <w:szCs w:val="24"/>
          <w:vertAlign w:val="superscript"/>
        </w:rPr>
        <w:t xml:space="preserve">1 </w:t>
      </w:r>
    </w:p>
    <w:p w:rsidR="00781215" w:rsidRPr="00781215" w:rsidRDefault="00213467" w:rsidP="00781215">
      <w:pPr>
        <w:spacing w:line="360" w:lineRule="auto"/>
        <w:jc w:val="both"/>
        <w:rPr>
          <w:rFonts w:ascii="Arial" w:hAnsi="Arial" w:cs="Arial"/>
          <w:sz w:val="24"/>
          <w:szCs w:val="24"/>
        </w:rPr>
      </w:pPr>
      <w:r>
        <w:rPr>
          <w:rFonts w:ascii="Arial" w:hAnsi="Arial" w:cs="Arial"/>
          <w:sz w:val="24"/>
          <w:szCs w:val="24"/>
        </w:rPr>
        <w:t>Coautores:</w:t>
      </w:r>
    </w:p>
    <w:p w:rsidR="00781215" w:rsidRDefault="00781215" w:rsidP="00781215">
      <w:pPr>
        <w:spacing w:line="360" w:lineRule="auto"/>
        <w:jc w:val="both"/>
        <w:rPr>
          <w:rFonts w:ascii="Arial" w:hAnsi="Arial" w:cs="Arial"/>
          <w:sz w:val="24"/>
          <w:szCs w:val="24"/>
          <w:vertAlign w:val="superscript"/>
        </w:rPr>
      </w:pPr>
      <w:r w:rsidRPr="00781215">
        <w:rPr>
          <w:rFonts w:ascii="Arial" w:hAnsi="Arial" w:cs="Arial"/>
          <w:sz w:val="24"/>
          <w:szCs w:val="24"/>
        </w:rPr>
        <w:t xml:space="preserve">Alexander </w:t>
      </w:r>
      <w:r w:rsidR="00213467" w:rsidRPr="00781215">
        <w:rPr>
          <w:rFonts w:ascii="Arial" w:hAnsi="Arial" w:cs="Arial"/>
          <w:sz w:val="24"/>
          <w:szCs w:val="24"/>
        </w:rPr>
        <w:t>Darío</w:t>
      </w:r>
      <w:r w:rsidRPr="00781215">
        <w:rPr>
          <w:rFonts w:ascii="Arial" w:hAnsi="Arial" w:cs="Arial"/>
          <w:sz w:val="24"/>
          <w:szCs w:val="24"/>
        </w:rPr>
        <w:t xml:space="preserve"> Mulet Batista</w:t>
      </w:r>
      <w:r w:rsidR="00BF53B2" w:rsidRPr="00BF53B2">
        <w:rPr>
          <w:rFonts w:ascii="Arial" w:hAnsi="Arial" w:cs="Arial"/>
          <w:sz w:val="24"/>
          <w:szCs w:val="24"/>
          <w:vertAlign w:val="superscript"/>
        </w:rPr>
        <w:t>2</w:t>
      </w:r>
      <w:r w:rsidRPr="00BF53B2">
        <w:rPr>
          <w:rFonts w:ascii="Arial" w:hAnsi="Arial" w:cs="Arial"/>
          <w:sz w:val="24"/>
          <w:szCs w:val="24"/>
          <w:vertAlign w:val="superscript"/>
        </w:rPr>
        <w:t xml:space="preserve"> </w:t>
      </w:r>
    </w:p>
    <w:p w:rsidR="00BF53B2" w:rsidRDefault="00BF53B2" w:rsidP="00781215">
      <w:pPr>
        <w:spacing w:line="360" w:lineRule="auto"/>
        <w:jc w:val="both"/>
        <w:rPr>
          <w:rFonts w:ascii="Arial" w:hAnsi="Arial" w:cs="Arial"/>
          <w:sz w:val="24"/>
          <w:szCs w:val="24"/>
          <w:vertAlign w:val="superscript"/>
        </w:rPr>
      </w:pPr>
      <w:r>
        <w:rPr>
          <w:rFonts w:ascii="Arial" w:hAnsi="Arial" w:cs="Arial"/>
          <w:sz w:val="24"/>
          <w:szCs w:val="24"/>
        </w:rPr>
        <w:t>Thalía Chacón Expósito</w:t>
      </w:r>
      <w:r>
        <w:rPr>
          <w:rFonts w:ascii="Arial" w:hAnsi="Arial" w:cs="Arial"/>
          <w:sz w:val="24"/>
          <w:szCs w:val="24"/>
          <w:vertAlign w:val="superscript"/>
        </w:rPr>
        <w:t>3</w:t>
      </w:r>
    </w:p>
    <w:p w:rsidR="00BF53B2" w:rsidRPr="00781215" w:rsidRDefault="00BF53B2" w:rsidP="00781215">
      <w:pPr>
        <w:spacing w:line="360" w:lineRule="auto"/>
        <w:jc w:val="both"/>
        <w:rPr>
          <w:rFonts w:ascii="Arial" w:hAnsi="Arial" w:cs="Arial"/>
          <w:sz w:val="24"/>
          <w:szCs w:val="24"/>
        </w:rPr>
      </w:pPr>
      <w:r w:rsidRPr="00781215">
        <w:rPr>
          <w:rFonts w:ascii="Arial" w:hAnsi="Arial" w:cs="Arial"/>
          <w:sz w:val="24"/>
          <w:szCs w:val="24"/>
        </w:rPr>
        <w:t>Ernesto Medrano Santos</w:t>
      </w:r>
      <w:r w:rsidRPr="00213467">
        <w:rPr>
          <w:rFonts w:ascii="Arial" w:hAnsi="Arial" w:cs="Arial"/>
          <w:sz w:val="24"/>
          <w:szCs w:val="24"/>
          <w:vertAlign w:val="superscript"/>
        </w:rPr>
        <w:t>4</w:t>
      </w:r>
    </w:p>
    <w:p w:rsidR="00BF53B2" w:rsidRDefault="00781215" w:rsidP="00781215">
      <w:pPr>
        <w:spacing w:line="360" w:lineRule="auto"/>
        <w:jc w:val="both"/>
        <w:rPr>
          <w:rFonts w:ascii="Arial" w:hAnsi="Arial" w:cs="Arial"/>
          <w:sz w:val="24"/>
          <w:szCs w:val="24"/>
          <w:vertAlign w:val="superscript"/>
        </w:rPr>
      </w:pPr>
      <w:r w:rsidRPr="00781215">
        <w:rPr>
          <w:rFonts w:ascii="Arial" w:hAnsi="Arial" w:cs="Arial"/>
          <w:sz w:val="24"/>
          <w:szCs w:val="24"/>
        </w:rPr>
        <w:t>Danilo Taño Tamayo</w:t>
      </w:r>
      <w:r w:rsidR="00BF53B2">
        <w:rPr>
          <w:rFonts w:ascii="Arial" w:hAnsi="Arial" w:cs="Arial"/>
          <w:sz w:val="24"/>
          <w:szCs w:val="24"/>
          <w:vertAlign w:val="superscript"/>
        </w:rPr>
        <w:t>5</w:t>
      </w:r>
    </w:p>
    <w:p w:rsidR="009B73B5" w:rsidRDefault="009B73B5" w:rsidP="00781215">
      <w:pPr>
        <w:spacing w:line="360" w:lineRule="auto"/>
        <w:jc w:val="both"/>
        <w:rPr>
          <w:rFonts w:ascii="Arial" w:hAnsi="Arial" w:cs="Arial"/>
          <w:sz w:val="24"/>
          <w:szCs w:val="24"/>
          <w:vertAlign w:val="superscript"/>
        </w:rPr>
      </w:pPr>
    </w:p>
    <w:p w:rsidR="00781215" w:rsidRPr="00213467" w:rsidRDefault="00781215" w:rsidP="00213467">
      <w:pPr>
        <w:pStyle w:val="Prrafodelista"/>
        <w:numPr>
          <w:ilvl w:val="0"/>
          <w:numId w:val="4"/>
        </w:numPr>
        <w:spacing w:line="360" w:lineRule="auto"/>
        <w:jc w:val="both"/>
        <w:rPr>
          <w:rFonts w:ascii="Arial" w:hAnsi="Arial" w:cs="Arial"/>
          <w:sz w:val="24"/>
          <w:szCs w:val="24"/>
        </w:rPr>
      </w:pPr>
      <w:r w:rsidRPr="00213467">
        <w:rPr>
          <w:rFonts w:ascii="Arial" w:hAnsi="Arial" w:cs="Arial"/>
          <w:sz w:val="24"/>
          <w:szCs w:val="24"/>
        </w:rPr>
        <w:t>Universidad de Ciencias Médicas de Holguín, Facultad de Ciencias Médicas Mariana Grajales Coello, Departamento de Pregrado. Holguín, Cuba.</w:t>
      </w:r>
      <w:r w:rsidR="00213467" w:rsidRPr="00213467">
        <w:rPr>
          <w:rFonts w:ascii="Arial" w:hAnsi="Arial" w:cs="Arial"/>
          <w:sz w:val="24"/>
          <w:szCs w:val="24"/>
        </w:rPr>
        <w:t xml:space="preserve"> </w:t>
      </w:r>
      <w:hyperlink r:id="rId6" w:history="1">
        <w:r w:rsidR="00213467" w:rsidRPr="004831F1">
          <w:rPr>
            <w:rStyle w:val="Hipervnculo"/>
            <w:rFonts w:ascii="Arial" w:hAnsi="Arial" w:cs="Arial"/>
            <w:sz w:val="24"/>
            <w:szCs w:val="24"/>
          </w:rPr>
          <w:t>https://orcid.org/0000-0002-4910-4287</w:t>
        </w:r>
      </w:hyperlink>
      <w:r w:rsidR="00213467">
        <w:rPr>
          <w:rFonts w:ascii="Arial" w:hAnsi="Arial" w:cs="Arial"/>
          <w:sz w:val="24"/>
          <w:szCs w:val="24"/>
        </w:rPr>
        <w:t xml:space="preserve"> </w:t>
      </w:r>
      <w:hyperlink r:id="rId7" w:history="1">
        <w:r w:rsidR="00213467" w:rsidRPr="004831F1">
          <w:rPr>
            <w:rStyle w:val="Hipervnculo"/>
            <w:rFonts w:ascii="Arial" w:hAnsi="Arial" w:cs="Arial"/>
            <w:sz w:val="24"/>
            <w:szCs w:val="24"/>
          </w:rPr>
          <w:t>dianet.pena99@gmail.com</w:t>
        </w:r>
      </w:hyperlink>
      <w:r w:rsidR="00213467">
        <w:rPr>
          <w:rFonts w:ascii="Arial" w:hAnsi="Arial" w:cs="Arial"/>
          <w:sz w:val="24"/>
          <w:szCs w:val="24"/>
        </w:rPr>
        <w:t xml:space="preserve"> </w:t>
      </w:r>
    </w:p>
    <w:p w:rsidR="00213467" w:rsidRDefault="00213467" w:rsidP="00781215">
      <w:pPr>
        <w:pStyle w:val="Prrafodelista"/>
        <w:numPr>
          <w:ilvl w:val="0"/>
          <w:numId w:val="4"/>
        </w:numPr>
        <w:spacing w:line="360" w:lineRule="auto"/>
        <w:jc w:val="both"/>
        <w:rPr>
          <w:rFonts w:ascii="Arial" w:hAnsi="Arial" w:cs="Arial"/>
          <w:sz w:val="24"/>
          <w:szCs w:val="24"/>
        </w:rPr>
      </w:pPr>
      <w:r w:rsidRPr="00213467">
        <w:rPr>
          <w:rFonts w:ascii="Arial" w:hAnsi="Arial" w:cs="Arial"/>
          <w:sz w:val="24"/>
          <w:szCs w:val="24"/>
        </w:rPr>
        <w:t xml:space="preserve">Universidad de Ciencias Médicas de Holguín, Facultad de Ciencias Médicas Mariana Grajales Coello, Departamento de Pregrado. Holguín, Cuba. </w:t>
      </w:r>
      <w:r>
        <w:rPr>
          <w:rFonts w:ascii="Arial" w:hAnsi="Arial" w:cs="Arial"/>
          <w:sz w:val="24"/>
          <w:szCs w:val="24"/>
        </w:rPr>
        <w:t xml:space="preserve"> </w:t>
      </w:r>
      <w:hyperlink r:id="rId8" w:history="1">
        <w:r w:rsidRPr="004831F1">
          <w:rPr>
            <w:rStyle w:val="Hipervnculo"/>
            <w:rFonts w:ascii="Arial" w:hAnsi="Arial" w:cs="Arial"/>
            <w:sz w:val="24"/>
            <w:szCs w:val="24"/>
          </w:rPr>
          <w:t>https://orcid.org/0000-0002-1143-5371</w:t>
        </w:r>
      </w:hyperlink>
      <w:r>
        <w:rPr>
          <w:rFonts w:ascii="Arial" w:hAnsi="Arial" w:cs="Arial"/>
          <w:sz w:val="24"/>
          <w:szCs w:val="24"/>
        </w:rPr>
        <w:t xml:space="preserve"> </w:t>
      </w:r>
      <w:hyperlink r:id="rId9" w:history="1">
        <w:r w:rsidRPr="004831F1">
          <w:rPr>
            <w:rStyle w:val="Hipervnculo"/>
            <w:rFonts w:ascii="Arial" w:hAnsi="Arial" w:cs="Arial"/>
            <w:sz w:val="24"/>
            <w:szCs w:val="24"/>
          </w:rPr>
          <w:t>dianetsarahi99@gmail.com</w:t>
        </w:r>
      </w:hyperlink>
      <w:r>
        <w:rPr>
          <w:rFonts w:ascii="Arial" w:hAnsi="Arial" w:cs="Arial"/>
          <w:sz w:val="24"/>
          <w:szCs w:val="24"/>
        </w:rPr>
        <w:t xml:space="preserve"> </w:t>
      </w:r>
    </w:p>
    <w:p w:rsidR="00BF53B2" w:rsidRPr="00BF53B2" w:rsidRDefault="00BF53B2" w:rsidP="00BF53B2">
      <w:pPr>
        <w:pStyle w:val="Prrafodelista"/>
        <w:numPr>
          <w:ilvl w:val="0"/>
          <w:numId w:val="4"/>
        </w:numPr>
        <w:spacing w:line="360" w:lineRule="auto"/>
        <w:jc w:val="both"/>
        <w:rPr>
          <w:rFonts w:ascii="Arial" w:hAnsi="Arial" w:cs="Arial"/>
          <w:sz w:val="24"/>
          <w:szCs w:val="24"/>
        </w:rPr>
      </w:pPr>
      <w:r w:rsidRPr="00213467">
        <w:rPr>
          <w:rFonts w:ascii="Arial" w:hAnsi="Arial" w:cs="Arial"/>
          <w:sz w:val="24"/>
          <w:szCs w:val="24"/>
        </w:rPr>
        <w:t>Universidad de Ciencias Médicas de Holguín, Facultad de Ciencias Médicas Mariana Grajales Coello, Departa</w:t>
      </w:r>
      <w:r>
        <w:rPr>
          <w:rFonts w:ascii="Arial" w:hAnsi="Arial" w:cs="Arial"/>
          <w:sz w:val="24"/>
          <w:szCs w:val="24"/>
        </w:rPr>
        <w:t xml:space="preserve">mento de Pregrado. Holguín, Cuba </w:t>
      </w:r>
      <w:hyperlink r:id="rId10" w:history="1">
        <w:r w:rsidRPr="004831F1">
          <w:rPr>
            <w:rStyle w:val="Hipervnculo"/>
            <w:rFonts w:ascii="Arial" w:hAnsi="Arial" w:cs="Arial"/>
            <w:sz w:val="24"/>
            <w:szCs w:val="24"/>
          </w:rPr>
          <w:t>https://orcid.org/0000-0003-2443-1721</w:t>
        </w:r>
      </w:hyperlink>
      <w:r>
        <w:rPr>
          <w:rFonts w:ascii="Arial" w:hAnsi="Arial" w:cs="Arial"/>
          <w:sz w:val="24"/>
          <w:szCs w:val="24"/>
        </w:rPr>
        <w:t xml:space="preserve"> </w:t>
      </w:r>
      <w:hyperlink r:id="rId11" w:history="1">
        <w:r w:rsidRPr="004831F1">
          <w:rPr>
            <w:rStyle w:val="Hipervnculo"/>
            <w:rFonts w:ascii="Arial" w:hAnsi="Arial" w:cs="Arial"/>
            <w:sz w:val="24"/>
            <w:szCs w:val="24"/>
          </w:rPr>
          <w:t>chaconexposito991105@gmail.com</w:t>
        </w:r>
      </w:hyperlink>
      <w:r>
        <w:rPr>
          <w:rFonts w:ascii="Arial" w:hAnsi="Arial" w:cs="Arial"/>
          <w:sz w:val="24"/>
          <w:szCs w:val="24"/>
        </w:rPr>
        <w:t xml:space="preserve"> </w:t>
      </w:r>
    </w:p>
    <w:p w:rsidR="00213467" w:rsidRDefault="00781215" w:rsidP="00781215">
      <w:pPr>
        <w:pStyle w:val="Prrafodelista"/>
        <w:numPr>
          <w:ilvl w:val="0"/>
          <w:numId w:val="4"/>
        </w:numPr>
        <w:spacing w:line="360" w:lineRule="auto"/>
        <w:jc w:val="both"/>
        <w:rPr>
          <w:rFonts w:ascii="Arial" w:hAnsi="Arial" w:cs="Arial"/>
          <w:sz w:val="24"/>
          <w:szCs w:val="24"/>
        </w:rPr>
      </w:pPr>
      <w:r w:rsidRPr="00213467">
        <w:rPr>
          <w:rFonts w:ascii="Arial" w:hAnsi="Arial" w:cs="Arial"/>
          <w:sz w:val="24"/>
          <w:szCs w:val="24"/>
        </w:rPr>
        <w:t>Universidad de Ciencias Médicas de Holguín, Facultad de Ciencias Médicas Mariana Grajales Coello, Departamento de Posgrado. Holguín, Cuba</w:t>
      </w:r>
      <w:r w:rsidR="00213467" w:rsidRPr="00213467">
        <w:rPr>
          <w:rFonts w:ascii="Arial" w:hAnsi="Arial" w:cs="Arial"/>
          <w:sz w:val="24"/>
          <w:szCs w:val="24"/>
        </w:rPr>
        <w:t xml:space="preserve"> </w:t>
      </w:r>
      <w:hyperlink r:id="rId12" w:history="1">
        <w:r w:rsidR="00213467" w:rsidRPr="00213467">
          <w:rPr>
            <w:rStyle w:val="Hipervnculo"/>
            <w:rFonts w:ascii="Arial" w:hAnsi="Arial" w:cs="Arial"/>
            <w:sz w:val="24"/>
            <w:szCs w:val="24"/>
          </w:rPr>
          <w:t>https://orcid.org/0000-0002-5857-6278</w:t>
        </w:r>
      </w:hyperlink>
      <w:r w:rsidR="00213467" w:rsidRPr="00213467">
        <w:rPr>
          <w:rFonts w:ascii="Arial" w:hAnsi="Arial" w:cs="Arial"/>
          <w:sz w:val="24"/>
          <w:szCs w:val="24"/>
        </w:rPr>
        <w:t xml:space="preserve"> </w:t>
      </w:r>
      <w:hyperlink r:id="rId13" w:history="1">
        <w:r w:rsidR="00213467" w:rsidRPr="004831F1">
          <w:rPr>
            <w:rStyle w:val="Hipervnculo"/>
            <w:rFonts w:ascii="Arial" w:hAnsi="Arial" w:cs="Arial"/>
            <w:sz w:val="24"/>
            <w:szCs w:val="24"/>
          </w:rPr>
          <w:t>medratomo4@gmail.com</w:t>
        </w:r>
      </w:hyperlink>
      <w:r w:rsidR="00213467">
        <w:rPr>
          <w:rFonts w:ascii="Arial" w:hAnsi="Arial" w:cs="Arial"/>
          <w:sz w:val="24"/>
          <w:szCs w:val="24"/>
        </w:rPr>
        <w:t xml:space="preserve"> </w:t>
      </w:r>
    </w:p>
    <w:p w:rsidR="00BF53B2" w:rsidRPr="00213467" w:rsidRDefault="00BF53B2" w:rsidP="00BF53B2">
      <w:pPr>
        <w:pStyle w:val="Prrafodelista"/>
        <w:numPr>
          <w:ilvl w:val="0"/>
          <w:numId w:val="4"/>
        </w:numPr>
        <w:spacing w:line="360" w:lineRule="auto"/>
        <w:jc w:val="both"/>
        <w:rPr>
          <w:rFonts w:ascii="Arial" w:hAnsi="Arial" w:cs="Arial"/>
          <w:sz w:val="24"/>
          <w:szCs w:val="24"/>
        </w:rPr>
      </w:pPr>
      <w:r w:rsidRPr="00213467">
        <w:rPr>
          <w:rFonts w:ascii="Arial" w:hAnsi="Arial" w:cs="Arial"/>
          <w:sz w:val="24"/>
          <w:szCs w:val="24"/>
        </w:rPr>
        <w:t xml:space="preserve">Universidad de Ciencias Médicas de Holguín, Facultad de Ciencias Médicas Mariana Grajales Coello, Departamento de Pregrado. Holguín, Cuba. </w:t>
      </w:r>
      <w:r>
        <w:rPr>
          <w:rFonts w:ascii="Arial" w:hAnsi="Arial" w:cs="Arial"/>
          <w:sz w:val="24"/>
          <w:szCs w:val="24"/>
        </w:rPr>
        <w:t xml:space="preserve"> </w:t>
      </w:r>
      <w:hyperlink r:id="rId14" w:history="1">
        <w:r w:rsidRPr="004831F1">
          <w:rPr>
            <w:rStyle w:val="Hipervnculo"/>
            <w:rFonts w:ascii="Arial" w:hAnsi="Arial" w:cs="Arial"/>
            <w:sz w:val="24"/>
            <w:szCs w:val="24"/>
          </w:rPr>
          <w:t>https://orcid.org/0000-0002-0649-9573</w:t>
        </w:r>
      </w:hyperlink>
      <w:r>
        <w:rPr>
          <w:rFonts w:ascii="Arial" w:hAnsi="Arial" w:cs="Arial"/>
          <w:sz w:val="24"/>
          <w:szCs w:val="24"/>
        </w:rPr>
        <w:t xml:space="preserve"> </w:t>
      </w:r>
      <w:hyperlink r:id="rId15" w:history="1">
        <w:r w:rsidRPr="004831F1">
          <w:rPr>
            <w:rStyle w:val="Hipervnculo"/>
            <w:rFonts w:ascii="Arial" w:hAnsi="Arial" w:cs="Arial"/>
            <w:sz w:val="24"/>
            <w:szCs w:val="24"/>
          </w:rPr>
          <w:t>drykurage@gmail.com</w:t>
        </w:r>
      </w:hyperlink>
      <w:r>
        <w:rPr>
          <w:rFonts w:ascii="Arial" w:hAnsi="Arial" w:cs="Arial"/>
          <w:sz w:val="24"/>
          <w:szCs w:val="24"/>
        </w:rPr>
        <w:t xml:space="preserve"> </w:t>
      </w:r>
      <w:r w:rsidRPr="00213467">
        <w:rPr>
          <w:rFonts w:ascii="Arial" w:hAnsi="Arial" w:cs="Arial"/>
          <w:sz w:val="24"/>
          <w:szCs w:val="24"/>
        </w:rPr>
        <w:t xml:space="preserve"> </w:t>
      </w:r>
    </w:p>
    <w:p w:rsidR="00BF53B2" w:rsidRDefault="00BF53B2" w:rsidP="00BF53B2">
      <w:pPr>
        <w:pStyle w:val="Prrafodelista"/>
        <w:spacing w:line="360" w:lineRule="auto"/>
        <w:ind w:left="1080"/>
        <w:jc w:val="both"/>
        <w:rPr>
          <w:rFonts w:ascii="Arial" w:hAnsi="Arial" w:cs="Arial"/>
          <w:sz w:val="24"/>
          <w:szCs w:val="24"/>
        </w:rPr>
      </w:pPr>
    </w:p>
    <w:p w:rsidR="00781215" w:rsidRPr="00781215" w:rsidRDefault="00781215" w:rsidP="00BF53B2">
      <w:pPr>
        <w:spacing w:line="360" w:lineRule="auto"/>
        <w:jc w:val="center"/>
        <w:rPr>
          <w:rFonts w:ascii="Arial" w:hAnsi="Arial" w:cs="Arial"/>
          <w:sz w:val="24"/>
          <w:szCs w:val="24"/>
        </w:rPr>
      </w:pPr>
      <w:r w:rsidRPr="00781215">
        <w:rPr>
          <w:rFonts w:ascii="Arial" w:hAnsi="Arial" w:cs="Arial"/>
          <w:sz w:val="24"/>
          <w:szCs w:val="24"/>
        </w:rPr>
        <w:t>Holguín, 2022</w:t>
      </w:r>
    </w:p>
    <w:p w:rsidR="00781215" w:rsidRPr="00781215" w:rsidRDefault="00781215" w:rsidP="009B73B5">
      <w:pPr>
        <w:spacing w:line="276" w:lineRule="auto"/>
        <w:jc w:val="both"/>
        <w:rPr>
          <w:rFonts w:ascii="Arial" w:hAnsi="Arial" w:cs="Arial"/>
          <w:b/>
          <w:sz w:val="24"/>
          <w:szCs w:val="24"/>
        </w:rPr>
      </w:pPr>
      <w:bookmarkStart w:id="0" w:name="_GoBack"/>
      <w:bookmarkEnd w:id="0"/>
      <w:r w:rsidRPr="00781215">
        <w:rPr>
          <w:rFonts w:ascii="Arial" w:hAnsi="Arial" w:cs="Arial"/>
          <w:b/>
          <w:sz w:val="24"/>
          <w:szCs w:val="24"/>
        </w:rPr>
        <w:lastRenderedPageBreak/>
        <w:t xml:space="preserve">RESUMEN                                    </w:t>
      </w:r>
    </w:p>
    <w:p w:rsidR="00781215" w:rsidRPr="00781215" w:rsidRDefault="00781215" w:rsidP="009B73B5">
      <w:pPr>
        <w:spacing w:after="0" w:line="276" w:lineRule="auto"/>
        <w:jc w:val="both"/>
        <w:rPr>
          <w:rFonts w:ascii="Arial" w:hAnsi="Arial" w:cs="Arial"/>
          <w:sz w:val="24"/>
          <w:szCs w:val="24"/>
        </w:rPr>
      </w:pPr>
      <w:r w:rsidRPr="00BF53B2">
        <w:rPr>
          <w:rFonts w:ascii="Arial" w:hAnsi="Arial" w:cs="Arial"/>
          <w:b/>
          <w:sz w:val="24"/>
          <w:szCs w:val="24"/>
        </w:rPr>
        <w:t>Introducción:</w:t>
      </w:r>
      <w:r w:rsidRPr="00781215">
        <w:rPr>
          <w:rFonts w:ascii="Arial" w:hAnsi="Arial" w:cs="Arial"/>
          <w:sz w:val="24"/>
          <w:szCs w:val="24"/>
        </w:rPr>
        <w:t xml:space="preserve"> La práctica de la fitoterapia es casi tan antigua como el hombre. El extracto de la corteza del árbol de mango ha sido utilizado tradicionalmente en la medicina natural en muchos países para el tratamiento de diversas afecciones, en Cuba se produce industrialmente en forma de jarabe, tabletas y cremas bajo la marca comercial Vimang.</w:t>
      </w:r>
    </w:p>
    <w:p w:rsidR="00781215" w:rsidRPr="00781215" w:rsidRDefault="00781215" w:rsidP="009B73B5">
      <w:pPr>
        <w:spacing w:after="0" w:line="276" w:lineRule="auto"/>
        <w:jc w:val="both"/>
        <w:rPr>
          <w:rFonts w:ascii="Arial" w:hAnsi="Arial" w:cs="Arial"/>
          <w:sz w:val="24"/>
          <w:szCs w:val="24"/>
        </w:rPr>
      </w:pPr>
      <w:r w:rsidRPr="00BF53B2">
        <w:rPr>
          <w:rFonts w:ascii="Arial" w:hAnsi="Arial" w:cs="Arial"/>
          <w:b/>
          <w:sz w:val="24"/>
          <w:szCs w:val="24"/>
        </w:rPr>
        <w:t>Objetivo:</w:t>
      </w:r>
      <w:r w:rsidRPr="00781215">
        <w:rPr>
          <w:rFonts w:ascii="Arial" w:hAnsi="Arial" w:cs="Arial"/>
          <w:sz w:val="24"/>
          <w:szCs w:val="24"/>
        </w:rPr>
        <w:t xml:space="preserve"> Describir el comportamiento del uso del Vimang en la población del consultorio 22 del policlínico Pedro Díaz Coello, de enero a marzo del 2020.</w:t>
      </w:r>
    </w:p>
    <w:p w:rsidR="00781215" w:rsidRPr="00781215" w:rsidRDefault="00781215" w:rsidP="009B73B5">
      <w:pPr>
        <w:spacing w:after="0" w:line="276" w:lineRule="auto"/>
        <w:jc w:val="both"/>
        <w:rPr>
          <w:rFonts w:ascii="Arial" w:hAnsi="Arial" w:cs="Arial"/>
          <w:sz w:val="24"/>
          <w:szCs w:val="24"/>
        </w:rPr>
      </w:pPr>
      <w:r w:rsidRPr="00BF53B2">
        <w:rPr>
          <w:rFonts w:ascii="Arial" w:hAnsi="Arial" w:cs="Arial"/>
          <w:b/>
          <w:sz w:val="24"/>
          <w:szCs w:val="24"/>
        </w:rPr>
        <w:t>Diseño Metodológico:</w:t>
      </w:r>
      <w:r w:rsidRPr="00781215">
        <w:rPr>
          <w:rFonts w:ascii="Arial" w:hAnsi="Arial" w:cs="Arial"/>
          <w:sz w:val="24"/>
          <w:szCs w:val="24"/>
        </w:rPr>
        <w:t xml:space="preserve"> Se realizó un estudio descriptivo en el consultorio 22 del policlínico Pedro Díaz Coello, municipio Holguín durante el período comprendido entre enero y marzo del 2020, para obtener información sobre el uso del Vimang en esta población. El universo estuvo constituido por 883 pacientes, que constituye el total de población del consultorio No. 22 de los que fueron tomados como muestra, de forma aleatoria, 30 pacientes que utilizaron el Vimang.</w:t>
      </w:r>
    </w:p>
    <w:p w:rsidR="00781215" w:rsidRPr="00781215" w:rsidRDefault="00781215" w:rsidP="009B73B5">
      <w:pPr>
        <w:spacing w:after="0" w:line="276" w:lineRule="auto"/>
        <w:jc w:val="both"/>
        <w:rPr>
          <w:rFonts w:ascii="Arial" w:hAnsi="Arial" w:cs="Arial"/>
          <w:sz w:val="24"/>
          <w:szCs w:val="24"/>
        </w:rPr>
      </w:pPr>
      <w:r w:rsidRPr="00BF53B2">
        <w:rPr>
          <w:rFonts w:ascii="Arial" w:hAnsi="Arial" w:cs="Arial"/>
          <w:b/>
          <w:sz w:val="24"/>
          <w:szCs w:val="24"/>
        </w:rPr>
        <w:t>Resultados:</w:t>
      </w:r>
      <w:r w:rsidRPr="00781215">
        <w:rPr>
          <w:rFonts w:ascii="Arial" w:hAnsi="Arial" w:cs="Arial"/>
          <w:sz w:val="24"/>
          <w:szCs w:val="24"/>
        </w:rPr>
        <w:t xml:space="preserve"> El Vimang fue utilizado en mayor proporción por mujeres. La formulación farmacéutica más empleada fue el jarabe para tratar el catarro, sus efectos fueron positivos en la mayoría de los pacientes que lo emplearon. La principal fuente de conocimiento de este fitofármaco fue el comentario popular.</w:t>
      </w:r>
    </w:p>
    <w:p w:rsidR="00781215" w:rsidRPr="00781215" w:rsidRDefault="00781215" w:rsidP="009B73B5">
      <w:pPr>
        <w:spacing w:line="276" w:lineRule="auto"/>
        <w:jc w:val="both"/>
        <w:rPr>
          <w:rFonts w:ascii="Arial" w:hAnsi="Arial" w:cs="Arial"/>
          <w:sz w:val="24"/>
          <w:szCs w:val="24"/>
        </w:rPr>
      </w:pPr>
      <w:r w:rsidRPr="00BF53B2">
        <w:rPr>
          <w:rFonts w:ascii="Arial" w:hAnsi="Arial" w:cs="Arial"/>
          <w:b/>
          <w:sz w:val="24"/>
          <w:szCs w:val="24"/>
        </w:rPr>
        <w:t>Conclusiones:</w:t>
      </w:r>
      <w:r w:rsidRPr="00781215">
        <w:rPr>
          <w:rFonts w:ascii="Arial" w:hAnsi="Arial" w:cs="Arial"/>
          <w:sz w:val="24"/>
          <w:szCs w:val="24"/>
        </w:rPr>
        <w:t xml:space="preserve"> La investigación demostró que hay un conocimiento insuficiente acerca del Vimang y poca divulgación por parte del consultorio médico de familia de las utilidades y diversos usos de este </w:t>
      </w:r>
      <w:r w:rsidRPr="00781215">
        <w:rPr>
          <w:rFonts w:ascii="Arial" w:hAnsi="Arial" w:cs="Arial"/>
          <w:sz w:val="24"/>
          <w:szCs w:val="24"/>
        </w:rPr>
        <w:t>fitofármaco.</w:t>
      </w:r>
      <w:r w:rsidRPr="00781215">
        <w:rPr>
          <w:rFonts w:ascii="Arial" w:hAnsi="Arial" w:cs="Arial"/>
          <w:sz w:val="24"/>
          <w:szCs w:val="24"/>
        </w:rPr>
        <w:t xml:space="preserve"> </w:t>
      </w:r>
    </w:p>
    <w:p w:rsidR="00781215" w:rsidRPr="00781215" w:rsidRDefault="00781215" w:rsidP="009B73B5">
      <w:pPr>
        <w:spacing w:line="276" w:lineRule="auto"/>
        <w:jc w:val="both"/>
        <w:rPr>
          <w:rFonts w:ascii="Arial" w:hAnsi="Arial" w:cs="Arial"/>
          <w:sz w:val="24"/>
          <w:szCs w:val="24"/>
        </w:rPr>
      </w:pPr>
      <w:r w:rsidRPr="00BF53B2">
        <w:rPr>
          <w:rFonts w:ascii="Arial" w:hAnsi="Arial" w:cs="Arial"/>
          <w:b/>
          <w:sz w:val="24"/>
          <w:szCs w:val="24"/>
        </w:rPr>
        <w:t>Palabras clave:</w:t>
      </w:r>
      <w:r w:rsidRPr="00781215">
        <w:rPr>
          <w:rFonts w:ascii="Arial" w:hAnsi="Arial" w:cs="Arial"/>
          <w:sz w:val="24"/>
          <w:szCs w:val="24"/>
        </w:rPr>
        <w:t xml:space="preserve"> Estrés oxidativo; Fitoterapia; Medicina Natural y Tradicional; Vima</w:t>
      </w:r>
      <w:r>
        <w:rPr>
          <w:rFonts w:ascii="Arial" w:hAnsi="Arial" w:cs="Arial"/>
          <w:sz w:val="24"/>
          <w:szCs w:val="24"/>
        </w:rPr>
        <w:t>ng.</w:t>
      </w:r>
    </w:p>
    <w:p w:rsidR="00781215" w:rsidRPr="00781215" w:rsidRDefault="00781215" w:rsidP="009B73B5">
      <w:pPr>
        <w:spacing w:line="276" w:lineRule="auto"/>
        <w:jc w:val="both"/>
        <w:rPr>
          <w:rFonts w:ascii="Arial" w:hAnsi="Arial" w:cs="Arial"/>
          <w:b/>
          <w:sz w:val="24"/>
          <w:szCs w:val="24"/>
        </w:rPr>
      </w:pPr>
      <w:r w:rsidRPr="00781215">
        <w:rPr>
          <w:rFonts w:ascii="Arial" w:hAnsi="Arial" w:cs="Arial"/>
          <w:b/>
          <w:sz w:val="24"/>
          <w:szCs w:val="24"/>
        </w:rPr>
        <w:t>INTRODUCCIÓN</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La práctica de la fitoterapia es casi tan antigua como el hombre, constituye la medicina más probada del mundo, ya que de forma obligada los individuos y sociedades prehistóricas mantenían un fuerte contacto con la naturaleza, la cual, al principio, de una forma accidental repercutía en el hombre, ya fuera por la ingesta de plantas tóxicas o venen</w:t>
      </w:r>
      <w:r>
        <w:rPr>
          <w:rFonts w:ascii="Arial" w:hAnsi="Arial" w:cs="Arial"/>
          <w:sz w:val="24"/>
          <w:szCs w:val="24"/>
        </w:rPr>
        <w:t xml:space="preserve">osas, picaduras de insectos. </w:t>
      </w:r>
      <w:r w:rsidRPr="00781215">
        <w:rPr>
          <w:rFonts w:ascii="Arial" w:hAnsi="Arial" w:cs="Arial"/>
          <w:sz w:val="24"/>
          <w:szCs w:val="24"/>
          <w:vertAlign w:val="superscript"/>
        </w:rPr>
        <w:t>1</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Estas situaciones pasaban a formar parte de la experiencia de las comunidades antiguas que se hacían eco de qué les dañaba, pero también y del mismo m odo de una forma accidental, comprendían que la naturaleza era fuente de sustancias</w:t>
      </w:r>
      <w:r>
        <w:rPr>
          <w:rFonts w:ascii="Arial" w:hAnsi="Arial" w:cs="Arial"/>
          <w:sz w:val="24"/>
          <w:szCs w:val="24"/>
        </w:rPr>
        <w:t xml:space="preserve"> con propiedades curativas. </w:t>
      </w:r>
      <w:r w:rsidRPr="00781215">
        <w:rPr>
          <w:rFonts w:ascii="Arial" w:hAnsi="Arial" w:cs="Arial"/>
          <w:sz w:val="24"/>
          <w:szCs w:val="24"/>
          <w:vertAlign w:val="superscript"/>
        </w:rPr>
        <w:t>1</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Hoy día, la comunidad científica reconoce en las plantas grandes poderes de curación. En universidades de diversos países se ofrecen cursos de posgrado acerca del</w:t>
      </w:r>
      <w:r>
        <w:rPr>
          <w:rFonts w:ascii="Arial" w:hAnsi="Arial" w:cs="Arial"/>
          <w:sz w:val="24"/>
          <w:szCs w:val="24"/>
        </w:rPr>
        <w:t xml:space="preserve"> empleo de fitomedicamentos. </w:t>
      </w:r>
      <w:r w:rsidRPr="00781215">
        <w:rPr>
          <w:rFonts w:ascii="Arial" w:hAnsi="Arial" w:cs="Arial"/>
          <w:sz w:val="24"/>
          <w:szCs w:val="24"/>
          <w:vertAlign w:val="superscript"/>
        </w:rPr>
        <w:t>1</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Las estadísticas mundiales demuestran que países como Etiopía y Ruanda utilizan la Medicina Tradicional en un 90 y 70% de sus </w:t>
      </w:r>
      <w:r>
        <w:rPr>
          <w:rFonts w:ascii="Arial" w:hAnsi="Arial" w:cs="Arial"/>
          <w:sz w:val="24"/>
          <w:szCs w:val="24"/>
        </w:rPr>
        <w:t xml:space="preserve">poblaciones respectivamente. </w:t>
      </w:r>
      <w:r w:rsidRPr="00781215">
        <w:rPr>
          <w:rFonts w:ascii="Arial" w:hAnsi="Arial" w:cs="Arial"/>
          <w:sz w:val="24"/>
          <w:szCs w:val="24"/>
          <w:vertAlign w:val="superscript"/>
        </w:rPr>
        <w:t>2</w:t>
      </w:r>
      <w:r w:rsidRPr="00781215">
        <w:rPr>
          <w:rFonts w:ascii="Arial" w:hAnsi="Arial" w:cs="Arial"/>
          <w:sz w:val="24"/>
          <w:szCs w:val="24"/>
        </w:rPr>
        <w:t xml:space="preserve">En </w:t>
      </w:r>
      <w:r w:rsidRPr="00781215">
        <w:rPr>
          <w:rFonts w:ascii="Arial" w:hAnsi="Arial" w:cs="Arial"/>
          <w:sz w:val="24"/>
          <w:szCs w:val="24"/>
        </w:rPr>
        <w:lastRenderedPageBreak/>
        <w:t xml:space="preserve">nuestro </w:t>
      </w:r>
      <w:r w:rsidRPr="00781215">
        <w:rPr>
          <w:rFonts w:ascii="Arial" w:hAnsi="Arial" w:cs="Arial"/>
          <w:sz w:val="24"/>
          <w:szCs w:val="24"/>
        </w:rPr>
        <w:t>país la</w:t>
      </w:r>
      <w:r w:rsidRPr="00781215">
        <w:rPr>
          <w:rFonts w:ascii="Arial" w:hAnsi="Arial" w:cs="Arial"/>
          <w:sz w:val="24"/>
          <w:szCs w:val="24"/>
        </w:rPr>
        <w:t xml:space="preserve"> formación de los médicos es muy occidental de ahí que el desarrollo de la medicina natural y tradicional en un prin</w:t>
      </w:r>
      <w:r>
        <w:rPr>
          <w:rFonts w:ascii="Arial" w:hAnsi="Arial" w:cs="Arial"/>
          <w:sz w:val="24"/>
          <w:szCs w:val="24"/>
        </w:rPr>
        <w:t xml:space="preserve">cipio se encontraba frenado. </w:t>
      </w:r>
      <w:r w:rsidRPr="00781215">
        <w:rPr>
          <w:rFonts w:ascii="Arial" w:hAnsi="Arial" w:cs="Arial"/>
          <w:sz w:val="24"/>
          <w:szCs w:val="24"/>
          <w:vertAlign w:val="superscript"/>
        </w:rPr>
        <w:t>3</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El cambio comienza dentro de las Fuerzas Armadas, cuando a fines de los 80 e inicio de los 90 se ordena que los médicos militares investiguen tratamientos alternativos para utilizar en momentos de escasez de med</w:t>
      </w:r>
      <w:r>
        <w:rPr>
          <w:rFonts w:ascii="Arial" w:hAnsi="Arial" w:cs="Arial"/>
          <w:sz w:val="24"/>
          <w:szCs w:val="24"/>
        </w:rPr>
        <w:t xml:space="preserve">icinas o momentos de guerra. </w:t>
      </w:r>
      <w:r w:rsidRPr="00781215">
        <w:rPr>
          <w:rFonts w:ascii="Arial" w:hAnsi="Arial" w:cs="Arial"/>
          <w:sz w:val="24"/>
          <w:szCs w:val="24"/>
          <w:vertAlign w:val="superscript"/>
        </w:rPr>
        <w:t>3</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El Ministerio de Salud Pública ha desarrollado un grupo de tareas para potenciar el Programa Nacional de Desarrollo de la MNT, desde el año 2013 se incluyen en el Cuadro Básico de Productos Naturales 34 productos elaborados a escala industrial donde se incluyen var</w:t>
      </w:r>
      <w:r>
        <w:rPr>
          <w:rFonts w:ascii="Arial" w:hAnsi="Arial" w:cs="Arial"/>
          <w:sz w:val="24"/>
          <w:szCs w:val="24"/>
        </w:rPr>
        <w:t xml:space="preserve">ias líneas de fitofármacos. </w:t>
      </w:r>
      <w:r w:rsidRPr="00781215">
        <w:rPr>
          <w:rFonts w:ascii="Arial" w:hAnsi="Arial" w:cs="Arial"/>
          <w:sz w:val="24"/>
          <w:szCs w:val="24"/>
          <w:vertAlign w:val="superscript"/>
        </w:rPr>
        <w:t>2</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La oferta de la farmacia de medicina verde de Holguín oferta actualmente 15 renglones, aunque han llegado a disponer de más de 50 medicamentos diferentes. Los 14 municipios holguineros cuentan con unidades productoras de fitofármacos, lo que ha permitido que se haya incrementado la producción de medicina verde y se alcancen alrededor de 4 millones de unidades anu</w:t>
      </w:r>
      <w:r>
        <w:rPr>
          <w:rFonts w:ascii="Arial" w:hAnsi="Arial" w:cs="Arial"/>
          <w:sz w:val="24"/>
          <w:szCs w:val="24"/>
        </w:rPr>
        <w:t xml:space="preserve">almente. </w:t>
      </w:r>
      <w:r w:rsidRPr="00781215">
        <w:rPr>
          <w:rFonts w:ascii="Arial" w:hAnsi="Arial" w:cs="Arial"/>
          <w:sz w:val="24"/>
          <w:szCs w:val="24"/>
          <w:vertAlign w:val="superscript"/>
        </w:rPr>
        <w:t>2</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El extracto de la corteza del árbol de mango ha sido utilizado tradicionalmente en la medicina natural para el tratamiento de la menopausia, diarrea, sífilis, diabetes, escabiosis, infecciones cu</w:t>
      </w:r>
      <w:r>
        <w:rPr>
          <w:rFonts w:ascii="Arial" w:hAnsi="Arial" w:cs="Arial"/>
          <w:sz w:val="24"/>
          <w:szCs w:val="24"/>
        </w:rPr>
        <w:t xml:space="preserve">táneas, anemia, entre otras. </w:t>
      </w:r>
      <w:r w:rsidRPr="00781215">
        <w:rPr>
          <w:rFonts w:ascii="Arial" w:hAnsi="Arial" w:cs="Arial"/>
          <w:sz w:val="24"/>
          <w:szCs w:val="24"/>
          <w:vertAlign w:val="superscript"/>
        </w:rPr>
        <w:t>4</w:t>
      </w:r>
      <w:r w:rsidRPr="00781215">
        <w:rPr>
          <w:rFonts w:ascii="Arial" w:hAnsi="Arial" w:cs="Arial"/>
          <w:sz w:val="24"/>
          <w:szCs w:val="24"/>
        </w:rPr>
        <w:t xml:space="preserve"> Su uso es reconocido desde hace más de 200 años y es provenient</w:t>
      </w:r>
      <w:r>
        <w:rPr>
          <w:rFonts w:ascii="Arial" w:hAnsi="Arial" w:cs="Arial"/>
          <w:sz w:val="24"/>
          <w:szCs w:val="24"/>
        </w:rPr>
        <w:t xml:space="preserve">e del continente africano. </w:t>
      </w:r>
      <w:r w:rsidRPr="00781215">
        <w:rPr>
          <w:rFonts w:ascii="Arial" w:hAnsi="Arial" w:cs="Arial"/>
          <w:sz w:val="24"/>
          <w:szCs w:val="24"/>
          <w:vertAlign w:val="superscript"/>
        </w:rPr>
        <w:t>3,5</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El Centro de Química Farmacéutica de Ciudad de La Habana desarrolló un producto que ha sido obtenido de la corteza fresca de 16 variedades de mango (Mangifera indica Lin.). (3) Su empleo ha sido documentado </w:t>
      </w:r>
      <w:r>
        <w:rPr>
          <w:rFonts w:ascii="Arial" w:hAnsi="Arial" w:cs="Arial"/>
          <w:sz w:val="24"/>
          <w:szCs w:val="24"/>
        </w:rPr>
        <w:t xml:space="preserve">en más de 7 mil pacientes. </w:t>
      </w:r>
      <w:r w:rsidRPr="00781215">
        <w:rPr>
          <w:rFonts w:ascii="Arial" w:hAnsi="Arial" w:cs="Arial"/>
          <w:sz w:val="24"/>
          <w:szCs w:val="24"/>
          <w:vertAlign w:val="superscript"/>
        </w:rPr>
        <w:t>6,7</w:t>
      </w:r>
      <w:r w:rsidRPr="00781215">
        <w:rPr>
          <w:rFonts w:ascii="Arial" w:hAnsi="Arial" w:cs="Arial"/>
          <w:sz w:val="24"/>
          <w:szCs w:val="24"/>
        </w:rPr>
        <w:t xml:space="preserve">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En la práctica etnomédica, el extracto de la corteza del árbol de mango es un extracto acuoso, que contiene 2% de sólidos totales. En la práctica industrial, es un polvo pardo homogéneo, y se utiliza como principio activo en la industria farmacéutica cubana para producir tabletas, jarabe saborizado y crema. Todas estas formulaciones están registradas bajo la marca comercial Vimang y su propiedad intelectual se encuentra protegida mediante pat</w:t>
      </w:r>
      <w:r>
        <w:rPr>
          <w:rFonts w:ascii="Arial" w:hAnsi="Arial" w:cs="Arial"/>
          <w:sz w:val="24"/>
          <w:szCs w:val="24"/>
        </w:rPr>
        <w:t>ente.</w:t>
      </w:r>
      <w:r w:rsidRPr="00781215">
        <w:rPr>
          <w:rFonts w:ascii="Arial" w:hAnsi="Arial" w:cs="Arial"/>
          <w:sz w:val="24"/>
          <w:szCs w:val="24"/>
          <w:vertAlign w:val="superscript"/>
        </w:rPr>
        <w:t xml:space="preserve"> 8,9</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No obstante, la disponibilidad es aún menor que la demanda, razón por la que el Centro de Química Farmacéutica, acometió la transferencia de tecnología y el desarrollo de formulaciones del extracto de la corteza del árbol de mango para la producción loca</w:t>
      </w:r>
      <w:r>
        <w:rPr>
          <w:rFonts w:ascii="Arial" w:hAnsi="Arial" w:cs="Arial"/>
          <w:sz w:val="24"/>
          <w:szCs w:val="24"/>
        </w:rPr>
        <w:t xml:space="preserve">l bajo la marca Vimang-MNT. </w:t>
      </w:r>
      <w:r w:rsidRPr="00781215">
        <w:rPr>
          <w:rFonts w:ascii="Arial" w:hAnsi="Arial" w:cs="Arial"/>
          <w:sz w:val="24"/>
          <w:szCs w:val="24"/>
          <w:vertAlign w:val="superscript"/>
        </w:rPr>
        <w:t>10</w:t>
      </w:r>
    </w:p>
    <w:p w:rsidR="009B73B5" w:rsidRDefault="00781215" w:rsidP="009B73B5">
      <w:pPr>
        <w:spacing w:line="276" w:lineRule="auto"/>
        <w:jc w:val="both"/>
        <w:rPr>
          <w:rFonts w:ascii="Arial" w:hAnsi="Arial" w:cs="Arial"/>
          <w:sz w:val="24"/>
          <w:szCs w:val="24"/>
        </w:rPr>
      </w:pPr>
      <w:r w:rsidRPr="00781215">
        <w:rPr>
          <w:rFonts w:ascii="Arial" w:hAnsi="Arial" w:cs="Arial"/>
          <w:sz w:val="24"/>
          <w:szCs w:val="24"/>
        </w:rPr>
        <w:t>El Vimang está constituido por una mezcla de polifenoles cuyas propiedades antioxidantes son reconocidas. Su presencia se ha relacionado con la disminución del riesgo coronario y el efecto quimiopreventivo de algunos tipos de neoplasias, es un producto que no es tóxico ni irritante; no tiene actividad mutagénica o potencial genotóxico y no induce daño</w:t>
      </w:r>
      <w:r>
        <w:rPr>
          <w:rFonts w:ascii="Arial" w:hAnsi="Arial" w:cs="Arial"/>
          <w:sz w:val="24"/>
          <w:szCs w:val="24"/>
        </w:rPr>
        <w:t xml:space="preserve">s en la molécula de ADN. </w:t>
      </w:r>
      <w:r w:rsidRPr="00781215">
        <w:rPr>
          <w:rFonts w:ascii="Arial" w:hAnsi="Arial" w:cs="Arial"/>
          <w:sz w:val="24"/>
          <w:szCs w:val="24"/>
          <w:vertAlign w:val="superscript"/>
        </w:rPr>
        <w:t>11-14</w:t>
      </w:r>
      <w:r w:rsidR="009B73B5">
        <w:rPr>
          <w:rFonts w:ascii="Arial" w:hAnsi="Arial" w:cs="Arial"/>
          <w:sz w:val="24"/>
          <w:szCs w:val="24"/>
        </w:rPr>
        <w:t xml:space="preserve"> </w:t>
      </w:r>
      <w:r w:rsidRPr="00781215">
        <w:rPr>
          <w:rFonts w:ascii="Arial" w:hAnsi="Arial" w:cs="Arial"/>
          <w:sz w:val="24"/>
          <w:szCs w:val="24"/>
        </w:rPr>
        <w:t xml:space="preserve">En la actualidad se </w:t>
      </w:r>
      <w:r w:rsidRPr="00781215">
        <w:rPr>
          <w:rFonts w:ascii="Arial" w:hAnsi="Arial" w:cs="Arial"/>
          <w:sz w:val="24"/>
          <w:szCs w:val="24"/>
        </w:rPr>
        <w:lastRenderedPageBreak/>
        <w:t>conocen casi 100 enfermedades en las que se ha demostrado la incidencia del estrés oxidativo en s</w:t>
      </w:r>
      <w:r>
        <w:rPr>
          <w:rFonts w:ascii="Arial" w:hAnsi="Arial" w:cs="Arial"/>
          <w:sz w:val="24"/>
          <w:szCs w:val="24"/>
        </w:rPr>
        <w:t xml:space="preserve">u surgimiento y desarrollo. </w:t>
      </w:r>
      <w:r w:rsidRPr="00781215">
        <w:rPr>
          <w:rFonts w:ascii="Arial" w:hAnsi="Arial" w:cs="Arial"/>
          <w:sz w:val="24"/>
          <w:szCs w:val="24"/>
          <w:vertAlign w:val="superscript"/>
        </w:rPr>
        <w:t>15</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No obstante, todas las evidencias de la literatura científica sobre la relación entre estrés oxidativo y la progresión de enfermedades, sobre todo crónicas, la administración de productos antioxidantes a los pacientes, se considera, como suplementaria o de segunda importancia en </w:t>
      </w:r>
      <w:r>
        <w:rPr>
          <w:rFonts w:ascii="Arial" w:hAnsi="Arial" w:cs="Arial"/>
          <w:sz w:val="24"/>
          <w:szCs w:val="24"/>
        </w:rPr>
        <w:t xml:space="preserve">la metodología terapéutica. </w:t>
      </w:r>
      <w:r w:rsidRPr="00781215">
        <w:rPr>
          <w:rFonts w:ascii="Arial" w:hAnsi="Arial" w:cs="Arial"/>
          <w:sz w:val="24"/>
          <w:szCs w:val="24"/>
          <w:vertAlign w:val="superscript"/>
        </w:rPr>
        <w:t>15</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La realidad es que los resultados científicos acumulados durante más de 10 años de investigación y desarrollo de las formulaciones Vimang, recogidas en más de 50 </w:t>
      </w:r>
      <w:r w:rsidR="00BF53B2" w:rsidRPr="00781215">
        <w:rPr>
          <w:rFonts w:ascii="Arial" w:hAnsi="Arial" w:cs="Arial"/>
          <w:sz w:val="24"/>
          <w:szCs w:val="24"/>
        </w:rPr>
        <w:t>publicaciones, demuestran</w:t>
      </w:r>
      <w:r w:rsidRPr="00781215">
        <w:rPr>
          <w:rFonts w:ascii="Arial" w:hAnsi="Arial" w:cs="Arial"/>
          <w:sz w:val="24"/>
          <w:szCs w:val="24"/>
        </w:rPr>
        <w:t xml:space="preserve"> la importancia de la terapia antioxidante en enfermedades tales como la preeclampsia en el embarazo, artritis, prostatitis, diabetes, queratitis, entre otras. Además de su demanda en el municipio de Holguín convierten a esta línea de productos en una atractiva opción terapéutica.</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Teniendo en cuenta la efectividad del Vimang en el tratamiento y/o prevención de enfermedades humanas asociadas al estrés oxidativo, inflamación y dolor; además de que se hace imprescindible </w:t>
      </w:r>
      <w:r w:rsidRPr="00781215">
        <w:rPr>
          <w:rFonts w:ascii="Arial" w:hAnsi="Arial" w:cs="Arial"/>
          <w:sz w:val="24"/>
          <w:szCs w:val="24"/>
        </w:rPr>
        <w:t>la propuesta</w:t>
      </w:r>
      <w:r w:rsidRPr="00781215">
        <w:rPr>
          <w:rFonts w:ascii="Arial" w:hAnsi="Arial" w:cs="Arial"/>
          <w:sz w:val="24"/>
          <w:szCs w:val="24"/>
        </w:rPr>
        <w:t xml:space="preserve"> a la comunidad médica cubana para que realice un mayor acercamiento a estas formulaciones, de origen 100 % natural, para su empleo en la atención primaria de salud. Llevó a plantear el siguiente Problema Científico: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¿Cuál es el comportamiento del uso del Vimang en el consultorio 22, del policlínico Pedro Díaz Coello, municipio Holguín, provincia Holguín en el periodo de enero a marzo del 2020?</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Objetivo</w:t>
      </w:r>
    </w:p>
    <w:p w:rsidR="00781215" w:rsidRDefault="00781215" w:rsidP="009B73B5">
      <w:pPr>
        <w:spacing w:line="276" w:lineRule="auto"/>
        <w:jc w:val="both"/>
        <w:rPr>
          <w:rFonts w:ascii="Arial" w:hAnsi="Arial" w:cs="Arial"/>
          <w:sz w:val="24"/>
          <w:szCs w:val="24"/>
        </w:rPr>
      </w:pPr>
      <w:r w:rsidRPr="00781215">
        <w:rPr>
          <w:rFonts w:ascii="Arial" w:hAnsi="Arial" w:cs="Arial"/>
          <w:sz w:val="24"/>
          <w:szCs w:val="24"/>
        </w:rPr>
        <w:t>Describir el comportamiento del uso del Vimang en la población del consultorio 22 del policlínico Pedro Díaz Coello en el período compren</w:t>
      </w:r>
      <w:r w:rsidR="009B73B5">
        <w:rPr>
          <w:rFonts w:ascii="Arial" w:hAnsi="Arial" w:cs="Arial"/>
          <w:sz w:val="24"/>
          <w:szCs w:val="24"/>
        </w:rPr>
        <w:t>dido de enero a marzo del 2020.</w:t>
      </w:r>
    </w:p>
    <w:p w:rsidR="009B73B5" w:rsidRPr="00781215" w:rsidRDefault="009B73B5" w:rsidP="009B73B5">
      <w:pPr>
        <w:spacing w:line="276" w:lineRule="auto"/>
        <w:jc w:val="both"/>
        <w:rPr>
          <w:rFonts w:ascii="Arial" w:hAnsi="Arial" w:cs="Arial"/>
          <w:sz w:val="24"/>
          <w:szCs w:val="24"/>
        </w:rPr>
      </w:pPr>
    </w:p>
    <w:p w:rsidR="00781215" w:rsidRPr="00781215" w:rsidRDefault="00781215" w:rsidP="009B73B5">
      <w:pPr>
        <w:spacing w:line="276" w:lineRule="auto"/>
        <w:jc w:val="both"/>
        <w:rPr>
          <w:rFonts w:ascii="Arial" w:hAnsi="Arial" w:cs="Arial"/>
          <w:sz w:val="24"/>
          <w:szCs w:val="24"/>
        </w:rPr>
      </w:pPr>
      <w:r w:rsidRPr="00781215">
        <w:rPr>
          <w:rFonts w:ascii="Arial" w:hAnsi="Arial" w:cs="Arial"/>
          <w:b/>
          <w:sz w:val="24"/>
          <w:szCs w:val="24"/>
        </w:rPr>
        <w:t>DISEÑO METODOLÓGICO</w:t>
      </w:r>
      <w:r w:rsidRPr="00781215">
        <w:rPr>
          <w:rFonts w:ascii="Arial" w:hAnsi="Arial" w:cs="Arial"/>
          <w:sz w:val="24"/>
          <w:szCs w:val="24"/>
        </w:rPr>
        <w:t xml:space="preserve">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Se realizó un estudio observacional, descriptivo, de corte transversal a los pacientes atendidos en el consultorio No. 22 del Policlínico Pedro Díaz Coello del municipio Holguín, provincia Holguín durante el período comprendido de enero a marzo del 2020</w:t>
      </w:r>
    </w:p>
    <w:p w:rsidR="00781215" w:rsidRPr="00781215" w:rsidRDefault="00781215" w:rsidP="009B73B5">
      <w:pPr>
        <w:spacing w:after="0" w:line="276" w:lineRule="auto"/>
        <w:jc w:val="both"/>
        <w:rPr>
          <w:rFonts w:ascii="Arial" w:hAnsi="Arial" w:cs="Arial"/>
          <w:b/>
          <w:sz w:val="24"/>
          <w:szCs w:val="24"/>
        </w:rPr>
      </w:pPr>
      <w:r w:rsidRPr="00781215">
        <w:rPr>
          <w:rFonts w:ascii="Arial" w:hAnsi="Arial" w:cs="Arial"/>
          <w:b/>
          <w:sz w:val="24"/>
          <w:szCs w:val="24"/>
        </w:rPr>
        <w:t>Universo y Muestra</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El universo estuvo constituido por 883 pacientes, que constituye el total de población del consultorio No. 22 del policínico Pedro Díaz Coello, de los que fueron tomados como muestra, de forma aleatoria, 30 pacientes que utilizaron el Vimang.</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Criterios de inclusión</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lastRenderedPageBreak/>
        <w:t>Pacientes que permanezcan en el área durante el periodo de estudio.</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w:t>
      </w:r>
      <w:r w:rsidRPr="00781215">
        <w:rPr>
          <w:rFonts w:ascii="Arial" w:hAnsi="Arial" w:cs="Arial"/>
          <w:sz w:val="24"/>
          <w:szCs w:val="24"/>
        </w:rPr>
        <w:tab/>
        <w:t xml:space="preserve">Todos los pacientes que utilizan el Vimang y que tengan historia clínica completa para la recolección de datos. </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Criterios de exclusión</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w:t>
      </w:r>
      <w:r w:rsidRPr="00781215">
        <w:rPr>
          <w:rFonts w:ascii="Arial" w:hAnsi="Arial" w:cs="Arial"/>
          <w:sz w:val="24"/>
          <w:szCs w:val="24"/>
        </w:rPr>
        <w:tab/>
        <w:t>Pacientes con pérdida del seguimiento.</w:t>
      </w:r>
    </w:p>
    <w:p w:rsidR="00781215" w:rsidRPr="00BF53B2" w:rsidRDefault="00781215" w:rsidP="009B73B5">
      <w:pPr>
        <w:spacing w:line="276" w:lineRule="auto"/>
        <w:jc w:val="both"/>
        <w:rPr>
          <w:rFonts w:ascii="Arial" w:hAnsi="Arial" w:cs="Arial"/>
          <w:b/>
          <w:sz w:val="24"/>
          <w:szCs w:val="24"/>
        </w:rPr>
      </w:pPr>
      <w:r w:rsidRPr="00BF53B2">
        <w:rPr>
          <w:rFonts w:ascii="Arial" w:hAnsi="Arial" w:cs="Arial"/>
          <w:b/>
          <w:sz w:val="24"/>
          <w:szCs w:val="24"/>
        </w:rPr>
        <w:t>Operacionalización de las variables</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17"/>
        <w:gridCol w:w="2977"/>
        <w:gridCol w:w="1701"/>
        <w:gridCol w:w="1406"/>
      </w:tblGrid>
      <w:tr w:rsidR="00781215" w:rsidTr="00BF53B2">
        <w:trPr>
          <w:trHeight w:val="267"/>
        </w:trPr>
        <w:tc>
          <w:tcPr>
            <w:tcW w:w="1555" w:type="dxa"/>
            <w:vMerge w:val="restart"/>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Variable</w:t>
            </w:r>
          </w:p>
        </w:tc>
        <w:tc>
          <w:tcPr>
            <w:tcW w:w="1417" w:type="dxa"/>
            <w:vMerge w:val="restart"/>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Clasificación</w:t>
            </w:r>
          </w:p>
        </w:tc>
        <w:tc>
          <w:tcPr>
            <w:tcW w:w="4678" w:type="dxa"/>
            <w:gridSpan w:val="2"/>
          </w:tcPr>
          <w:p w:rsidR="00781215" w:rsidRDefault="00781215" w:rsidP="00BF53B2">
            <w:pPr>
              <w:spacing w:after="0" w:line="240" w:lineRule="auto"/>
              <w:jc w:val="center"/>
              <w:rPr>
                <w:rFonts w:eastAsia="Calibri" w:cs="Times New Roman"/>
                <w:bCs/>
                <w:sz w:val="24"/>
                <w:szCs w:val="24"/>
              </w:rPr>
            </w:pPr>
            <w:r>
              <w:rPr>
                <w:rFonts w:eastAsia="Calibri" w:cs="Times New Roman"/>
                <w:bCs/>
                <w:sz w:val="24"/>
                <w:szCs w:val="24"/>
              </w:rPr>
              <w:t>Operacionalización</w:t>
            </w:r>
          </w:p>
        </w:tc>
        <w:tc>
          <w:tcPr>
            <w:tcW w:w="1406" w:type="dxa"/>
            <w:vMerge w:val="restart"/>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Indicadores</w:t>
            </w:r>
          </w:p>
        </w:tc>
      </w:tr>
      <w:tr w:rsidR="00781215" w:rsidTr="00BF53B2">
        <w:trPr>
          <w:trHeight w:val="244"/>
        </w:trPr>
        <w:tc>
          <w:tcPr>
            <w:tcW w:w="1555" w:type="dxa"/>
            <w:vMerge/>
          </w:tcPr>
          <w:p w:rsidR="00781215" w:rsidRDefault="00781215" w:rsidP="00BF53B2">
            <w:pPr>
              <w:spacing w:after="0" w:line="240" w:lineRule="auto"/>
              <w:jc w:val="both"/>
              <w:rPr>
                <w:rFonts w:eastAsia="Calibri" w:cs="Times New Roman"/>
                <w:bCs/>
                <w:sz w:val="24"/>
                <w:szCs w:val="24"/>
              </w:rPr>
            </w:pPr>
          </w:p>
        </w:tc>
        <w:tc>
          <w:tcPr>
            <w:tcW w:w="1417" w:type="dxa"/>
            <w:vMerge/>
          </w:tcPr>
          <w:p w:rsidR="00781215" w:rsidRDefault="00781215" w:rsidP="00BF53B2">
            <w:pPr>
              <w:spacing w:after="0" w:line="240" w:lineRule="auto"/>
              <w:jc w:val="both"/>
              <w:rPr>
                <w:rFonts w:eastAsia="Calibri" w:cs="Times New Roman"/>
                <w:bCs/>
                <w:sz w:val="24"/>
                <w:szCs w:val="24"/>
              </w:rPr>
            </w:pPr>
          </w:p>
        </w:tc>
        <w:tc>
          <w:tcPr>
            <w:tcW w:w="297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Escala de Medición</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Descripción</w:t>
            </w:r>
          </w:p>
        </w:tc>
        <w:tc>
          <w:tcPr>
            <w:tcW w:w="1406" w:type="dxa"/>
            <w:vMerge/>
          </w:tcPr>
          <w:p w:rsidR="00781215" w:rsidRDefault="00781215" w:rsidP="00BF53B2">
            <w:pPr>
              <w:spacing w:after="0" w:line="240" w:lineRule="auto"/>
              <w:jc w:val="both"/>
              <w:rPr>
                <w:rFonts w:eastAsia="Calibri" w:cs="Times New Roman"/>
                <w:bCs/>
                <w:sz w:val="24"/>
                <w:szCs w:val="24"/>
              </w:rPr>
            </w:pPr>
          </w:p>
        </w:tc>
      </w:tr>
      <w:tr w:rsidR="00781215" w:rsidTr="00BF53B2">
        <w:trPr>
          <w:trHeight w:val="2773"/>
        </w:trPr>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Edad</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Cuantitativa continua</w:t>
            </w:r>
          </w:p>
        </w:tc>
        <w:tc>
          <w:tcPr>
            <w:tcW w:w="297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16-30</w:t>
            </w:r>
          </w:p>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31-45</w:t>
            </w:r>
          </w:p>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46-60</w:t>
            </w:r>
          </w:p>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61-75</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Años de edad cumplidos al momento de realizar la investigación según carnet de identidad</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 xml:space="preserve">Sexo </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Femenino</w:t>
            </w:r>
          </w:p>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Masculino</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Según sexo biológico</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Antecedentes patológicos personales</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Hipertensión arterial</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Diabetes Mellitus Asma Bronquial Migraña</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Cardiopatía Isquémica</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Gastritis</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 xml:space="preserve">Artrosis </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Glaucoma</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Bronquitis Crónica Enfermedad Pulmonar Obstructiva Crónica Hipotiroidismo Osteoporosis</w:t>
            </w:r>
          </w:p>
          <w:p w:rsidR="00781215" w:rsidRDefault="00781215" w:rsidP="00BF53B2">
            <w:pPr>
              <w:spacing w:after="0" w:line="240" w:lineRule="auto"/>
              <w:jc w:val="both"/>
              <w:rPr>
                <w:rFonts w:eastAsia="Calibri" w:cs="Times New Roman"/>
                <w:bCs/>
                <w:sz w:val="24"/>
                <w:szCs w:val="24"/>
              </w:rPr>
            </w:pPr>
            <w:r>
              <w:rPr>
                <w:rFonts w:eastAsia="Calibri" w:cs="Times New Roman"/>
                <w:sz w:val="24"/>
                <w:szCs w:val="24"/>
              </w:rPr>
              <w:t>Tiroiditis Crónica Faringitis Crónica</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Según información de la historia clínica</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Nivel educacional</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ordinal</w:t>
            </w:r>
          </w:p>
        </w:tc>
        <w:tc>
          <w:tcPr>
            <w:tcW w:w="2977" w:type="dxa"/>
          </w:tcPr>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Primaria sin terminar</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Primaria terminada</w:t>
            </w:r>
          </w:p>
          <w:p w:rsidR="00781215" w:rsidRDefault="00781215" w:rsidP="00BF53B2">
            <w:pPr>
              <w:spacing w:after="0" w:line="240" w:lineRule="auto"/>
              <w:jc w:val="both"/>
              <w:rPr>
                <w:rFonts w:eastAsia="Calibri" w:cs="Times New Roman"/>
                <w:bCs/>
                <w:sz w:val="24"/>
                <w:szCs w:val="24"/>
              </w:rPr>
            </w:pPr>
            <w:r>
              <w:rPr>
                <w:rFonts w:eastAsia="Calibri" w:cs="Times New Roman"/>
                <w:sz w:val="24"/>
                <w:szCs w:val="24"/>
              </w:rPr>
              <w:t>Secundaria sin terminar Secundaria terminada Preuniversitario sin terminar Preuniversitario terminado Universidad sin terminar Universidad terminada</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 determinó mediante la encuesta realizada a cada paciente</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lastRenderedPageBreak/>
              <w:t>Fuente de información</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Comentario popular</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Farmacia</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Consultorio médico</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Radio</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Televisión.</w:t>
            </w:r>
          </w:p>
          <w:p w:rsidR="00781215" w:rsidRDefault="00781215" w:rsidP="00BF53B2">
            <w:pPr>
              <w:spacing w:after="0" w:line="240" w:lineRule="auto"/>
              <w:jc w:val="both"/>
              <w:rPr>
                <w:rFonts w:eastAsia="Calibri" w:cs="Times New Roman"/>
                <w:bCs/>
                <w:sz w:val="24"/>
                <w:szCs w:val="24"/>
              </w:rPr>
            </w:pP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 determinó mediante la encuesta realizada a cada paciente</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Presentación más utilizada</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Jarabe</w:t>
            </w:r>
          </w:p>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Tabletas</w:t>
            </w:r>
          </w:p>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 xml:space="preserve">Crema </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 determinó mediante la encuesta realizada a cada paciente</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Afección para lo que fue más utilizada</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Catarro</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Lesiones en piel (manchas)</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Acné</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 xml:space="preserve">Decaimiento </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Problemas circulatorios</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Neumonía.</w:t>
            </w:r>
          </w:p>
          <w:p w:rsidR="00781215" w:rsidRDefault="00781215" w:rsidP="00BF53B2">
            <w:pPr>
              <w:spacing w:after="0" w:line="240" w:lineRule="auto"/>
              <w:jc w:val="both"/>
              <w:rPr>
                <w:rFonts w:eastAsia="Calibri" w:cs="Times New Roman"/>
                <w:bCs/>
                <w:sz w:val="24"/>
                <w:szCs w:val="24"/>
              </w:rPr>
            </w:pP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 determinó mediante la encuesta realizada a cada paciente</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 xml:space="preserve">Utilización </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Como tratamiento único</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Como tratamiento coadyuvante</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 determinó mediante la encuesta realizada a cada paciente</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r w:rsidR="00781215" w:rsidTr="00BF53B2">
        <w:tc>
          <w:tcPr>
            <w:tcW w:w="1555"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 xml:space="preserve">Resultados </w:t>
            </w:r>
          </w:p>
        </w:tc>
        <w:tc>
          <w:tcPr>
            <w:tcW w:w="1417"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Cualitativa nominal</w:t>
            </w:r>
          </w:p>
        </w:tc>
        <w:tc>
          <w:tcPr>
            <w:tcW w:w="2977" w:type="dxa"/>
          </w:tcPr>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Positivos</w:t>
            </w:r>
          </w:p>
          <w:p w:rsidR="00781215" w:rsidRDefault="00781215" w:rsidP="00BF53B2">
            <w:pPr>
              <w:spacing w:after="0" w:line="240" w:lineRule="auto"/>
              <w:jc w:val="both"/>
              <w:rPr>
                <w:rFonts w:eastAsia="Calibri" w:cs="Times New Roman"/>
                <w:sz w:val="24"/>
                <w:szCs w:val="24"/>
              </w:rPr>
            </w:pPr>
            <w:r>
              <w:rPr>
                <w:rFonts w:eastAsia="Calibri" w:cs="Times New Roman"/>
                <w:sz w:val="24"/>
                <w:szCs w:val="24"/>
              </w:rPr>
              <w:t xml:space="preserve">Negativos </w:t>
            </w:r>
          </w:p>
        </w:tc>
        <w:tc>
          <w:tcPr>
            <w:tcW w:w="1701"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Se determinó mediante la encuesta realizada a cada paciente</w:t>
            </w:r>
          </w:p>
        </w:tc>
        <w:tc>
          <w:tcPr>
            <w:tcW w:w="1406" w:type="dxa"/>
          </w:tcPr>
          <w:p w:rsidR="00781215" w:rsidRDefault="00781215" w:rsidP="00BF53B2">
            <w:pPr>
              <w:spacing w:after="0" w:line="240" w:lineRule="auto"/>
              <w:jc w:val="both"/>
              <w:rPr>
                <w:rFonts w:eastAsia="Calibri" w:cs="Times New Roman"/>
                <w:bCs/>
                <w:sz w:val="24"/>
                <w:szCs w:val="24"/>
              </w:rPr>
            </w:pPr>
            <w:r>
              <w:rPr>
                <w:rFonts w:eastAsia="Calibri" w:cs="Times New Roman"/>
                <w:bCs/>
                <w:sz w:val="24"/>
                <w:szCs w:val="24"/>
              </w:rPr>
              <w:t>Frecuencia absoluta y porciento</w:t>
            </w:r>
          </w:p>
        </w:tc>
      </w:tr>
    </w:tbl>
    <w:p w:rsidR="00781215" w:rsidRDefault="00781215" w:rsidP="00781215">
      <w:pPr>
        <w:spacing w:line="360" w:lineRule="auto"/>
        <w:jc w:val="both"/>
        <w:rPr>
          <w:rFonts w:ascii="Arial" w:hAnsi="Arial" w:cs="Arial"/>
          <w:sz w:val="24"/>
          <w:szCs w:val="24"/>
        </w:rPr>
      </w:pPr>
    </w:p>
    <w:p w:rsidR="00781215" w:rsidRPr="00781215" w:rsidRDefault="00781215" w:rsidP="009B73B5">
      <w:pPr>
        <w:spacing w:after="0" w:line="276" w:lineRule="auto"/>
        <w:jc w:val="both"/>
        <w:rPr>
          <w:rFonts w:ascii="Arial" w:hAnsi="Arial" w:cs="Arial"/>
          <w:b/>
          <w:sz w:val="24"/>
          <w:szCs w:val="24"/>
        </w:rPr>
      </w:pPr>
      <w:r w:rsidRPr="00781215">
        <w:rPr>
          <w:rFonts w:ascii="Arial" w:hAnsi="Arial" w:cs="Arial"/>
          <w:b/>
          <w:sz w:val="24"/>
          <w:szCs w:val="24"/>
        </w:rPr>
        <w:t>Métodos e instrumentos de recolección de datos</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 xml:space="preserve">La recolección de la información se realizó por los autores para dar una mayor confiabilidad al estudio y uniformidad a los datos recogidos. Los datos verificados y procesados se presentan en tablas simples y de asociación de variables.  </w:t>
      </w:r>
    </w:p>
    <w:p w:rsidR="00781215" w:rsidRPr="00BF53B2" w:rsidRDefault="00781215" w:rsidP="009B73B5">
      <w:pPr>
        <w:spacing w:after="0" w:line="276" w:lineRule="auto"/>
        <w:jc w:val="both"/>
        <w:rPr>
          <w:rFonts w:ascii="Arial" w:hAnsi="Arial" w:cs="Arial"/>
          <w:sz w:val="24"/>
          <w:szCs w:val="24"/>
        </w:rPr>
      </w:pPr>
      <w:r w:rsidRPr="00BF53B2">
        <w:rPr>
          <w:rFonts w:ascii="Arial" w:hAnsi="Arial" w:cs="Arial"/>
          <w:sz w:val="24"/>
          <w:szCs w:val="24"/>
        </w:rPr>
        <w:t>Métodos Teóricos:</w:t>
      </w:r>
    </w:p>
    <w:p w:rsidR="00781215" w:rsidRPr="00781215" w:rsidRDefault="00781215" w:rsidP="009B73B5">
      <w:pPr>
        <w:pStyle w:val="Prrafodelista"/>
        <w:numPr>
          <w:ilvl w:val="0"/>
          <w:numId w:val="2"/>
        </w:numPr>
        <w:spacing w:after="0" w:line="276" w:lineRule="auto"/>
        <w:jc w:val="both"/>
        <w:rPr>
          <w:rFonts w:ascii="Arial" w:hAnsi="Arial" w:cs="Arial"/>
          <w:sz w:val="24"/>
          <w:szCs w:val="24"/>
        </w:rPr>
      </w:pPr>
      <w:r w:rsidRPr="00781215">
        <w:rPr>
          <w:rFonts w:ascii="Arial" w:hAnsi="Arial" w:cs="Arial"/>
          <w:sz w:val="24"/>
          <w:szCs w:val="24"/>
        </w:rPr>
        <w:t>Histórico-lógico: Con este método se pudo estudiar la trayectoria real del fenómeno y acontecimientos a lo largo de la historia.</w:t>
      </w:r>
    </w:p>
    <w:p w:rsidR="00781215" w:rsidRPr="00781215" w:rsidRDefault="00781215" w:rsidP="009B73B5">
      <w:pPr>
        <w:pStyle w:val="Prrafodelista"/>
        <w:numPr>
          <w:ilvl w:val="0"/>
          <w:numId w:val="2"/>
        </w:numPr>
        <w:spacing w:line="276" w:lineRule="auto"/>
        <w:jc w:val="both"/>
        <w:rPr>
          <w:rFonts w:ascii="Arial" w:hAnsi="Arial" w:cs="Arial"/>
          <w:sz w:val="24"/>
          <w:szCs w:val="24"/>
        </w:rPr>
      </w:pPr>
      <w:r w:rsidRPr="00781215">
        <w:rPr>
          <w:rFonts w:ascii="Arial" w:hAnsi="Arial" w:cs="Arial"/>
          <w:sz w:val="24"/>
          <w:szCs w:val="24"/>
        </w:rPr>
        <w:t>Análisis y síntesis: Posibilitó analizar la situación actual del problema planteado para seleccionar aspectos y relacionados con esa selección, incluir los que debían integrar el trabajo investigativo.</w:t>
      </w:r>
    </w:p>
    <w:p w:rsidR="00781215" w:rsidRPr="00781215" w:rsidRDefault="00781215" w:rsidP="009B73B5">
      <w:pPr>
        <w:pStyle w:val="Prrafodelista"/>
        <w:numPr>
          <w:ilvl w:val="0"/>
          <w:numId w:val="2"/>
        </w:numPr>
        <w:spacing w:line="276" w:lineRule="auto"/>
        <w:jc w:val="both"/>
        <w:rPr>
          <w:rFonts w:ascii="Arial" w:hAnsi="Arial" w:cs="Arial"/>
          <w:sz w:val="24"/>
          <w:szCs w:val="24"/>
        </w:rPr>
      </w:pPr>
      <w:r w:rsidRPr="00781215">
        <w:rPr>
          <w:rFonts w:ascii="Arial" w:hAnsi="Arial" w:cs="Arial"/>
          <w:sz w:val="24"/>
          <w:szCs w:val="24"/>
        </w:rPr>
        <w:t xml:space="preserve">Inductivo-deductivo: Del estudio de casos particulares a través de la inducción se llega a generalizaciones. De dichas formulaciones teóricas se deducen nuevas conclusiones, las que son sometidas a comprobaciones, de ahí que </w:t>
      </w:r>
      <w:r w:rsidRPr="00781215">
        <w:rPr>
          <w:rFonts w:ascii="Arial" w:hAnsi="Arial" w:cs="Arial"/>
          <w:sz w:val="24"/>
          <w:szCs w:val="24"/>
        </w:rPr>
        <w:lastRenderedPageBreak/>
        <w:t xml:space="preserve">solamente la complementación mutua entre estos procedimientos puede proporcionar un conocimiento verdadero sobre la realidad. </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 xml:space="preserve">Métodos Empíricos: </w:t>
      </w:r>
    </w:p>
    <w:p w:rsidR="00781215" w:rsidRPr="00781215" w:rsidRDefault="00781215" w:rsidP="009B73B5">
      <w:pPr>
        <w:pStyle w:val="Prrafodelista"/>
        <w:numPr>
          <w:ilvl w:val="0"/>
          <w:numId w:val="3"/>
        </w:numPr>
        <w:spacing w:after="0" w:line="276" w:lineRule="auto"/>
        <w:jc w:val="both"/>
        <w:rPr>
          <w:rFonts w:ascii="Arial" w:hAnsi="Arial" w:cs="Arial"/>
          <w:sz w:val="24"/>
          <w:szCs w:val="24"/>
        </w:rPr>
      </w:pPr>
      <w:r w:rsidRPr="00781215">
        <w:rPr>
          <w:rFonts w:ascii="Arial" w:hAnsi="Arial" w:cs="Arial"/>
          <w:sz w:val="24"/>
          <w:szCs w:val="24"/>
        </w:rPr>
        <w:t>Entrevista médica</w:t>
      </w:r>
    </w:p>
    <w:p w:rsidR="00781215" w:rsidRPr="00781215" w:rsidRDefault="00781215" w:rsidP="009B73B5">
      <w:pPr>
        <w:pStyle w:val="Prrafodelista"/>
        <w:numPr>
          <w:ilvl w:val="0"/>
          <w:numId w:val="3"/>
        </w:numPr>
        <w:spacing w:line="276" w:lineRule="auto"/>
        <w:jc w:val="both"/>
        <w:rPr>
          <w:rFonts w:ascii="Arial" w:hAnsi="Arial" w:cs="Arial"/>
          <w:sz w:val="24"/>
          <w:szCs w:val="24"/>
        </w:rPr>
      </w:pPr>
      <w:r w:rsidRPr="00781215">
        <w:rPr>
          <w:rFonts w:ascii="Arial" w:hAnsi="Arial" w:cs="Arial"/>
          <w:sz w:val="24"/>
          <w:szCs w:val="24"/>
        </w:rPr>
        <w:t>Revisión de documentos: Se revisaron todas las historias clínicas de los pacientes.</w:t>
      </w:r>
    </w:p>
    <w:p w:rsidR="00781215" w:rsidRPr="00BF53B2" w:rsidRDefault="00781215" w:rsidP="009B73B5">
      <w:pPr>
        <w:spacing w:line="276" w:lineRule="auto"/>
        <w:jc w:val="both"/>
        <w:rPr>
          <w:rFonts w:ascii="Arial" w:hAnsi="Arial" w:cs="Arial"/>
          <w:b/>
          <w:sz w:val="24"/>
          <w:szCs w:val="24"/>
        </w:rPr>
      </w:pPr>
      <w:r w:rsidRPr="00781215">
        <w:rPr>
          <w:rFonts w:ascii="Arial" w:hAnsi="Arial" w:cs="Arial"/>
          <w:b/>
          <w:sz w:val="24"/>
          <w:szCs w:val="24"/>
        </w:rPr>
        <w:t>Analisis Estadístico</w:t>
      </w:r>
      <w:r w:rsidR="00BF53B2">
        <w:rPr>
          <w:rFonts w:ascii="Arial" w:hAnsi="Arial" w:cs="Arial"/>
          <w:b/>
          <w:sz w:val="24"/>
          <w:szCs w:val="24"/>
        </w:rPr>
        <w:t xml:space="preserve">: </w:t>
      </w:r>
      <w:r w:rsidRPr="00781215">
        <w:rPr>
          <w:rFonts w:ascii="Arial" w:hAnsi="Arial" w:cs="Arial"/>
          <w:sz w:val="24"/>
          <w:szCs w:val="24"/>
        </w:rPr>
        <w:t xml:space="preserve">Los datos recogidos se registraron en una base de datos en el sistema Excel de Windows 10. El análisis de los resultados se plasmó en tablas para su mejor comprensión. El informe final se confeccionó en Microsoft Word 2016. </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Para este proceso se emplearon los recursos informáticos disponibles los cuales incluyeron:</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Hardware: PC (laptop). Intel® Celeron® Procesador N4000</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 xml:space="preserve">Software: Hojas de cálculo: Microsoft Office Excel 2013 </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 xml:space="preserve">               Procesador de Textos: Microsoft Office Word 2013</w:t>
      </w:r>
    </w:p>
    <w:p w:rsidR="00781215" w:rsidRPr="00BF53B2" w:rsidRDefault="00781215" w:rsidP="009B73B5">
      <w:pPr>
        <w:spacing w:after="0" w:line="276" w:lineRule="auto"/>
        <w:jc w:val="both"/>
        <w:rPr>
          <w:rFonts w:ascii="Arial" w:hAnsi="Arial" w:cs="Arial"/>
          <w:b/>
          <w:sz w:val="24"/>
          <w:szCs w:val="24"/>
        </w:rPr>
      </w:pPr>
      <w:r w:rsidRPr="00BF53B2">
        <w:rPr>
          <w:rFonts w:ascii="Arial" w:hAnsi="Arial" w:cs="Arial"/>
          <w:b/>
          <w:sz w:val="24"/>
          <w:szCs w:val="24"/>
        </w:rPr>
        <w:t>De discusión y análisis</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Para la investigación se utilizaron como fuentes de información primaria la entrevista médica, y como fuente de información secundaria las historias clínicas.</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Se efectuó una discusión lo más detallada posible de cada uno de los cuadros estadísticos y se compararon los resultados con los obtenidos en otros estudios nacionales y extranjeros los cuales permitieron llegar a conclusiones mediante un análisis deductivo e inductivo de los resultados y se emitieron recomendaciones.</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Se utilizaron técnicas de estadísticas descriptivas entre las que se destacan las medidas de resumen para variables cualitativas y cuantitativas, como son: proporción y porciento.</w:t>
      </w:r>
    </w:p>
    <w:p w:rsidR="00781215" w:rsidRPr="00781215" w:rsidRDefault="00781215" w:rsidP="009B73B5">
      <w:pPr>
        <w:spacing w:after="0" w:line="276" w:lineRule="auto"/>
        <w:jc w:val="both"/>
        <w:rPr>
          <w:rFonts w:ascii="Arial" w:hAnsi="Arial" w:cs="Arial"/>
          <w:b/>
          <w:sz w:val="24"/>
          <w:szCs w:val="24"/>
        </w:rPr>
      </w:pPr>
      <w:r w:rsidRPr="00781215">
        <w:rPr>
          <w:rFonts w:ascii="Arial" w:hAnsi="Arial" w:cs="Arial"/>
          <w:b/>
          <w:sz w:val="24"/>
          <w:szCs w:val="24"/>
        </w:rPr>
        <w:t>Consideraciones éticas</w:t>
      </w:r>
    </w:p>
    <w:p w:rsidR="00781215" w:rsidRP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Se consultaron los principios de la Declaración de Ginebra de la Asociación Médica Mundial y el Código Internacional de Ética Médica.</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De igual manera se maximizaron los posibles beneficios y se minimizaron los posibles daños y equivocaciones.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A cada paciente incluido en el estudio le fue informado previamente, recibiendo toda la información acerca de las características de la investigación. Los resultados de la investigación solo serán presentados o publicados en marcos puramente científicos. La información que se obtuvo será protegida, no revelándose los nombres de los pacientes participantes, respetándose los principios básicos de la Bioética Médica.</w:t>
      </w:r>
    </w:p>
    <w:p w:rsidR="00781215" w:rsidRPr="00781215" w:rsidRDefault="00781215" w:rsidP="009B73B5">
      <w:pPr>
        <w:spacing w:line="276" w:lineRule="auto"/>
        <w:jc w:val="both"/>
        <w:rPr>
          <w:rFonts w:ascii="Arial" w:hAnsi="Arial" w:cs="Arial"/>
          <w:sz w:val="24"/>
          <w:szCs w:val="24"/>
        </w:rPr>
      </w:pPr>
    </w:p>
    <w:p w:rsidR="00781215" w:rsidRPr="00781215" w:rsidRDefault="00781215" w:rsidP="009B73B5">
      <w:pPr>
        <w:spacing w:line="276" w:lineRule="auto"/>
        <w:jc w:val="both"/>
        <w:rPr>
          <w:rFonts w:ascii="Arial" w:hAnsi="Arial" w:cs="Arial"/>
          <w:b/>
          <w:sz w:val="24"/>
          <w:szCs w:val="24"/>
        </w:rPr>
      </w:pPr>
      <w:r w:rsidRPr="00781215">
        <w:rPr>
          <w:rFonts w:ascii="Arial" w:hAnsi="Arial" w:cs="Arial"/>
          <w:b/>
          <w:sz w:val="24"/>
          <w:szCs w:val="24"/>
        </w:rPr>
        <w:t>RESULTADOS</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lastRenderedPageBreak/>
        <w:t>Tabla 1. Distribución de los pacientes que usan el Vimang según edad y sexo.</w:t>
      </w:r>
    </w:p>
    <w:tbl>
      <w:tblPr>
        <w:tblpPr w:leftFromText="141" w:rightFromText="141"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7"/>
        <w:gridCol w:w="1185"/>
        <w:gridCol w:w="636"/>
        <w:gridCol w:w="1234"/>
        <w:gridCol w:w="617"/>
        <w:gridCol w:w="749"/>
        <w:gridCol w:w="654"/>
      </w:tblGrid>
      <w:tr w:rsidR="00781215" w:rsidTr="001B2ADB">
        <w:tc>
          <w:tcPr>
            <w:tcW w:w="1817"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Edad(intervalos)</w:t>
            </w:r>
          </w:p>
        </w:tc>
        <w:tc>
          <w:tcPr>
            <w:tcW w:w="1185"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Femenino</w:t>
            </w:r>
          </w:p>
        </w:tc>
        <w:tc>
          <w:tcPr>
            <w:tcW w:w="636"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w:t>
            </w:r>
          </w:p>
        </w:tc>
        <w:tc>
          <w:tcPr>
            <w:tcW w:w="1234"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Masculino</w:t>
            </w:r>
          </w:p>
        </w:tc>
        <w:tc>
          <w:tcPr>
            <w:tcW w:w="617"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w:t>
            </w:r>
          </w:p>
        </w:tc>
        <w:tc>
          <w:tcPr>
            <w:tcW w:w="749"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Total</w:t>
            </w:r>
          </w:p>
        </w:tc>
        <w:tc>
          <w:tcPr>
            <w:tcW w:w="654"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w:t>
            </w:r>
          </w:p>
        </w:tc>
      </w:tr>
      <w:tr w:rsidR="00781215" w:rsidTr="001B2ADB">
        <w:tc>
          <w:tcPr>
            <w:tcW w:w="1817"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16-30</w:t>
            </w:r>
          </w:p>
        </w:tc>
        <w:tc>
          <w:tcPr>
            <w:tcW w:w="1185"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7</w:t>
            </w:r>
          </w:p>
        </w:tc>
        <w:tc>
          <w:tcPr>
            <w:tcW w:w="636"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23.3</w:t>
            </w:r>
          </w:p>
        </w:tc>
        <w:tc>
          <w:tcPr>
            <w:tcW w:w="1234"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0</w:t>
            </w:r>
          </w:p>
        </w:tc>
        <w:tc>
          <w:tcPr>
            <w:tcW w:w="617"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0</w:t>
            </w:r>
          </w:p>
        </w:tc>
        <w:tc>
          <w:tcPr>
            <w:tcW w:w="749"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7</w:t>
            </w:r>
          </w:p>
        </w:tc>
        <w:tc>
          <w:tcPr>
            <w:tcW w:w="654"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23.3</w:t>
            </w:r>
          </w:p>
        </w:tc>
      </w:tr>
      <w:tr w:rsidR="00781215" w:rsidTr="001B2ADB">
        <w:tc>
          <w:tcPr>
            <w:tcW w:w="1817"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31-45</w:t>
            </w:r>
          </w:p>
        </w:tc>
        <w:tc>
          <w:tcPr>
            <w:tcW w:w="1185"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8</w:t>
            </w:r>
          </w:p>
        </w:tc>
        <w:tc>
          <w:tcPr>
            <w:tcW w:w="636"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26.6</w:t>
            </w:r>
          </w:p>
        </w:tc>
        <w:tc>
          <w:tcPr>
            <w:tcW w:w="1234" w:type="dxa"/>
            <w:tcBorders>
              <w:bottom w:val="single" w:sz="4" w:space="0" w:color="auto"/>
            </w:tcBorders>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1</w:t>
            </w:r>
          </w:p>
        </w:tc>
        <w:tc>
          <w:tcPr>
            <w:tcW w:w="617"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3.3</w:t>
            </w:r>
          </w:p>
        </w:tc>
        <w:tc>
          <w:tcPr>
            <w:tcW w:w="749"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9</w:t>
            </w:r>
          </w:p>
        </w:tc>
        <w:tc>
          <w:tcPr>
            <w:tcW w:w="654"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30.0</w:t>
            </w:r>
          </w:p>
        </w:tc>
      </w:tr>
      <w:tr w:rsidR="00781215" w:rsidTr="001B2ADB">
        <w:tc>
          <w:tcPr>
            <w:tcW w:w="1817"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46-60</w:t>
            </w:r>
          </w:p>
        </w:tc>
        <w:tc>
          <w:tcPr>
            <w:tcW w:w="1185"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3</w:t>
            </w:r>
          </w:p>
        </w:tc>
        <w:tc>
          <w:tcPr>
            <w:tcW w:w="636"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10.0</w:t>
            </w:r>
          </w:p>
        </w:tc>
        <w:tc>
          <w:tcPr>
            <w:tcW w:w="1234"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2</w:t>
            </w:r>
          </w:p>
        </w:tc>
        <w:tc>
          <w:tcPr>
            <w:tcW w:w="617"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6.6</w:t>
            </w:r>
          </w:p>
        </w:tc>
        <w:tc>
          <w:tcPr>
            <w:tcW w:w="749"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5</w:t>
            </w:r>
          </w:p>
        </w:tc>
        <w:tc>
          <w:tcPr>
            <w:tcW w:w="654"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16.6</w:t>
            </w:r>
          </w:p>
        </w:tc>
      </w:tr>
      <w:tr w:rsidR="00781215" w:rsidTr="001B2ADB">
        <w:tc>
          <w:tcPr>
            <w:tcW w:w="1817"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61-75</w:t>
            </w:r>
          </w:p>
        </w:tc>
        <w:tc>
          <w:tcPr>
            <w:tcW w:w="1185" w:type="dxa"/>
            <w:tcBorders>
              <w:right w:val="single" w:sz="4" w:space="0" w:color="auto"/>
            </w:tcBorders>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7</w:t>
            </w:r>
          </w:p>
        </w:tc>
        <w:tc>
          <w:tcPr>
            <w:tcW w:w="636" w:type="dxa"/>
            <w:tcBorders>
              <w:left w:val="single" w:sz="4" w:space="0" w:color="auto"/>
            </w:tcBorders>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23.3</w:t>
            </w:r>
          </w:p>
        </w:tc>
        <w:tc>
          <w:tcPr>
            <w:tcW w:w="1234" w:type="dxa"/>
            <w:vAlign w:val="center"/>
          </w:tcPr>
          <w:p w:rsidR="00781215" w:rsidRDefault="00781215" w:rsidP="00BF53B2">
            <w:pPr>
              <w:pStyle w:val="NormalWeb"/>
              <w:spacing w:before="0" w:beforeAutospacing="0" w:after="0" w:afterAutospacing="0" w:line="276" w:lineRule="auto"/>
              <w:jc w:val="both"/>
              <w:rPr>
                <w:rStyle w:val="corchete-llamada"/>
                <w:bCs/>
              </w:rPr>
            </w:pPr>
            <w:r>
              <w:rPr>
                <w:rStyle w:val="corchete-llamada"/>
                <w:bCs/>
              </w:rPr>
              <w:t>2</w:t>
            </w:r>
          </w:p>
        </w:tc>
        <w:tc>
          <w:tcPr>
            <w:tcW w:w="617"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6.6</w:t>
            </w:r>
          </w:p>
        </w:tc>
        <w:tc>
          <w:tcPr>
            <w:tcW w:w="749" w:type="dxa"/>
            <w:tcBorders>
              <w:top w:val="single" w:sz="4" w:space="0" w:color="auto"/>
              <w:bottom w:val="single" w:sz="4" w:space="0" w:color="auto"/>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9</w:t>
            </w:r>
          </w:p>
        </w:tc>
        <w:tc>
          <w:tcPr>
            <w:tcW w:w="654" w:type="dxa"/>
            <w:tcBorders>
              <w:top w:val="single" w:sz="4" w:space="0" w:color="auto"/>
              <w:bottom w:val="nil"/>
              <w:right w:val="single" w:sz="4" w:space="0" w:color="auto"/>
            </w:tcBorders>
            <w:vAlign w:val="center"/>
          </w:tcPr>
          <w:p w:rsidR="00781215" w:rsidRDefault="00781215" w:rsidP="00BF53B2">
            <w:pPr>
              <w:spacing w:after="0" w:line="276" w:lineRule="auto"/>
              <w:jc w:val="both"/>
              <w:rPr>
                <w:rStyle w:val="corchete-llamada"/>
                <w:rFonts w:cs="Times New Roman"/>
                <w:bCs/>
                <w:sz w:val="24"/>
                <w:szCs w:val="24"/>
              </w:rPr>
            </w:pPr>
            <w:r>
              <w:rPr>
                <w:rStyle w:val="corchete-llamada"/>
                <w:rFonts w:cs="Times New Roman"/>
                <w:bCs/>
                <w:sz w:val="24"/>
                <w:szCs w:val="24"/>
              </w:rPr>
              <w:t>30.0</w:t>
            </w:r>
          </w:p>
        </w:tc>
      </w:tr>
      <w:tr w:rsidR="00781215" w:rsidTr="001B2A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30"/>
        </w:trPr>
        <w:tc>
          <w:tcPr>
            <w:tcW w:w="1817" w:type="dxa"/>
            <w:vAlign w:val="center"/>
          </w:tcPr>
          <w:p w:rsidR="00781215" w:rsidRDefault="00781215" w:rsidP="00BF53B2">
            <w:pPr>
              <w:pStyle w:val="NormalWeb"/>
              <w:spacing w:before="0" w:beforeAutospacing="0" w:after="0" w:afterAutospacing="0" w:line="276" w:lineRule="auto"/>
              <w:jc w:val="both"/>
              <w:rPr>
                <w:rStyle w:val="corchete-llamada"/>
              </w:rPr>
            </w:pPr>
            <w:r>
              <w:rPr>
                <w:rStyle w:val="corchete-llamada"/>
              </w:rPr>
              <w:t>Total</w:t>
            </w:r>
          </w:p>
        </w:tc>
        <w:tc>
          <w:tcPr>
            <w:tcW w:w="1185" w:type="dxa"/>
            <w:vAlign w:val="center"/>
          </w:tcPr>
          <w:p w:rsidR="00781215" w:rsidRDefault="00781215" w:rsidP="00BF53B2">
            <w:pPr>
              <w:pStyle w:val="NormalWeb"/>
              <w:spacing w:before="0" w:beforeAutospacing="0" w:after="0" w:afterAutospacing="0" w:line="276" w:lineRule="auto"/>
              <w:jc w:val="both"/>
              <w:rPr>
                <w:rStyle w:val="corchete-llamada"/>
              </w:rPr>
            </w:pPr>
            <w:r>
              <w:rPr>
                <w:rStyle w:val="corchete-llamada"/>
              </w:rPr>
              <w:t>25</w:t>
            </w:r>
          </w:p>
        </w:tc>
        <w:tc>
          <w:tcPr>
            <w:tcW w:w="636" w:type="dxa"/>
            <w:vAlign w:val="center"/>
          </w:tcPr>
          <w:p w:rsidR="00781215" w:rsidRDefault="00781215" w:rsidP="00BF53B2">
            <w:pPr>
              <w:pStyle w:val="NormalWeb"/>
              <w:spacing w:before="0" w:beforeAutospacing="0" w:after="0" w:afterAutospacing="0" w:line="276" w:lineRule="auto"/>
              <w:jc w:val="both"/>
              <w:rPr>
                <w:rStyle w:val="corchete-llamada"/>
              </w:rPr>
            </w:pPr>
            <w:r>
              <w:rPr>
                <w:rStyle w:val="corchete-llamada"/>
              </w:rPr>
              <w:t>83.3</w:t>
            </w:r>
          </w:p>
        </w:tc>
        <w:tc>
          <w:tcPr>
            <w:tcW w:w="1234" w:type="dxa"/>
            <w:vAlign w:val="center"/>
          </w:tcPr>
          <w:p w:rsidR="00781215" w:rsidRDefault="00781215" w:rsidP="00BF53B2">
            <w:pPr>
              <w:pStyle w:val="NormalWeb"/>
              <w:spacing w:before="0" w:beforeAutospacing="0" w:after="0" w:afterAutospacing="0" w:line="276" w:lineRule="auto"/>
              <w:jc w:val="both"/>
              <w:rPr>
                <w:rStyle w:val="corchete-llamada"/>
              </w:rPr>
            </w:pPr>
            <w:r>
              <w:rPr>
                <w:rStyle w:val="corchete-llamada"/>
              </w:rPr>
              <w:t>5</w:t>
            </w:r>
          </w:p>
        </w:tc>
        <w:tc>
          <w:tcPr>
            <w:tcW w:w="617" w:type="dxa"/>
            <w:vAlign w:val="center"/>
          </w:tcPr>
          <w:p w:rsidR="00781215" w:rsidRDefault="00781215" w:rsidP="00BF53B2">
            <w:pPr>
              <w:pStyle w:val="NormalWeb"/>
              <w:spacing w:before="0" w:beforeAutospacing="0" w:after="0" w:afterAutospacing="0" w:line="276" w:lineRule="auto"/>
              <w:jc w:val="both"/>
              <w:rPr>
                <w:rStyle w:val="corchete-llamada"/>
              </w:rPr>
            </w:pPr>
            <w:r>
              <w:rPr>
                <w:rStyle w:val="corchete-llamada"/>
              </w:rPr>
              <w:t>16.6</w:t>
            </w:r>
          </w:p>
        </w:tc>
        <w:tc>
          <w:tcPr>
            <w:tcW w:w="749" w:type="dxa"/>
            <w:vAlign w:val="center"/>
          </w:tcPr>
          <w:p w:rsidR="00781215" w:rsidRDefault="00781215" w:rsidP="00BF53B2">
            <w:pPr>
              <w:pStyle w:val="NormalWeb"/>
              <w:spacing w:before="0" w:beforeAutospacing="0" w:after="0" w:afterAutospacing="0" w:line="276" w:lineRule="auto"/>
              <w:jc w:val="both"/>
              <w:rPr>
                <w:rStyle w:val="corchete-llamada"/>
              </w:rPr>
            </w:pPr>
            <w:r>
              <w:rPr>
                <w:rStyle w:val="corchete-llamada"/>
              </w:rPr>
              <w:t>30</w:t>
            </w:r>
          </w:p>
        </w:tc>
        <w:tc>
          <w:tcPr>
            <w:tcW w:w="654" w:type="dxa"/>
            <w:vAlign w:val="center"/>
          </w:tcPr>
          <w:p w:rsidR="00781215" w:rsidRDefault="00781215" w:rsidP="00BF53B2">
            <w:pPr>
              <w:spacing w:after="0" w:line="276" w:lineRule="auto"/>
              <w:jc w:val="both"/>
              <w:rPr>
                <w:rStyle w:val="corchete-llamada"/>
                <w:rFonts w:cs="Times New Roman"/>
                <w:sz w:val="24"/>
                <w:szCs w:val="24"/>
              </w:rPr>
            </w:pPr>
            <w:r>
              <w:rPr>
                <w:rStyle w:val="corchete-llamada"/>
                <w:rFonts w:cs="Times New Roman"/>
                <w:sz w:val="24"/>
                <w:szCs w:val="24"/>
              </w:rPr>
              <w:t>100</w:t>
            </w:r>
          </w:p>
        </w:tc>
      </w:tr>
    </w:tbl>
    <w:p w:rsidR="00781215" w:rsidRDefault="00781215" w:rsidP="00781215">
      <w:pPr>
        <w:spacing w:after="0" w:line="360" w:lineRule="auto"/>
        <w:jc w:val="both"/>
        <w:rPr>
          <w:rFonts w:cs="Times New Roman"/>
          <w:sz w:val="24"/>
          <w:szCs w:val="24"/>
        </w:rPr>
      </w:pPr>
      <w:r>
        <w:rPr>
          <w:rFonts w:cs="Times New Roman"/>
          <w:sz w:val="24"/>
          <w:szCs w:val="24"/>
        </w:rPr>
        <w:t xml:space="preserve"> </w:t>
      </w:r>
    </w:p>
    <w:p w:rsidR="00781215" w:rsidRDefault="00781215" w:rsidP="00781215">
      <w:pPr>
        <w:spacing w:after="0" w:line="360" w:lineRule="auto"/>
        <w:jc w:val="both"/>
        <w:rPr>
          <w:rFonts w:cs="Times New Roman"/>
          <w:sz w:val="24"/>
          <w:szCs w:val="24"/>
        </w:rPr>
      </w:pPr>
    </w:p>
    <w:p w:rsidR="00781215" w:rsidRDefault="00781215" w:rsidP="00781215">
      <w:pPr>
        <w:spacing w:after="0" w:line="360" w:lineRule="auto"/>
        <w:jc w:val="both"/>
        <w:rPr>
          <w:rFonts w:cs="Times New Roman"/>
          <w:sz w:val="24"/>
          <w:szCs w:val="24"/>
        </w:rPr>
      </w:pPr>
    </w:p>
    <w:p w:rsidR="00781215" w:rsidRDefault="00781215" w:rsidP="00781215">
      <w:pPr>
        <w:spacing w:after="0" w:line="360" w:lineRule="auto"/>
        <w:jc w:val="both"/>
        <w:rPr>
          <w:rFonts w:cs="Times New Roman"/>
          <w:sz w:val="24"/>
          <w:szCs w:val="24"/>
        </w:rPr>
      </w:pPr>
    </w:p>
    <w:p w:rsidR="00781215" w:rsidRDefault="00781215" w:rsidP="00781215">
      <w:pPr>
        <w:spacing w:after="0" w:line="360" w:lineRule="auto"/>
        <w:jc w:val="both"/>
        <w:rPr>
          <w:rFonts w:cs="Times New Roman"/>
          <w:sz w:val="24"/>
          <w:szCs w:val="24"/>
        </w:rPr>
      </w:pPr>
    </w:p>
    <w:p w:rsidR="009B73B5" w:rsidRDefault="009B73B5" w:rsidP="009B73B5">
      <w:pPr>
        <w:spacing w:after="0" w:line="276" w:lineRule="auto"/>
        <w:jc w:val="both"/>
        <w:rPr>
          <w:rFonts w:ascii="Arial" w:hAnsi="Arial" w:cs="Arial"/>
          <w:sz w:val="24"/>
          <w:szCs w:val="24"/>
        </w:rPr>
      </w:pPr>
    </w:p>
    <w:p w:rsidR="00781215" w:rsidRDefault="00781215" w:rsidP="009B73B5">
      <w:pPr>
        <w:spacing w:after="0" w:line="276" w:lineRule="auto"/>
        <w:jc w:val="both"/>
        <w:rPr>
          <w:rFonts w:ascii="Arial" w:hAnsi="Arial" w:cs="Arial"/>
          <w:sz w:val="24"/>
          <w:szCs w:val="24"/>
        </w:rPr>
      </w:pPr>
      <w:r w:rsidRPr="00781215">
        <w:rPr>
          <w:rFonts w:ascii="Arial" w:hAnsi="Arial" w:cs="Arial"/>
          <w:sz w:val="24"/>
          <w:szCs w:val="24"/>
        </w:rPr>
        <w:t>Fuente: Historias clínicas</w:t>
      </w:r>
    </w:p>
    <w:p w:rsidR="009B73B5" w:rsidRPr="00781215" w:rsidRDefault="009B73B5" w:rsidP="009B73B5">
      <w:pPr>
        <w:spacing w:after="0" w:line="276" w:lineRule="auto"/>
        <w:jc w:val="both"/>
        <w:rPr>
          <w:rFonts w:ascii="Arial" w:hAnsi="Arial" w:cs="Arial"/>
          <w:sz w:val="24"/>
          <w:szCs w:val="24"/>
        </w:rPr>
      </w:pP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La tabla 1 muestra la distribución de los pacientes que usan Vimang según edad y sexo, donde existió un predominio del sexo femenino para un 83.3%. En el sexo femenino predominaron aquellas mujeres que se encontraban en el grupo etario de 31 a 45 años representando el 26.6% del total de la muestra. Por otra parte, en el sexo masculino los grupos etarios de 46 a 60 y de 61 a 75 años estuvieron representados por igual cantidad de pacientes representando cada grupo el 6.6% del total, mientras que en el intervalo de 16 a 30 años no hubo ningún representante.</w:t>
      </w:r>
    </w:p>
    <w:p w:rsidR="00781215" w:rsidRDefault="00781215" w:rsidP="009B73B5">
      <w:pPr>
        <w:spacing w:after="0" w:line="276" w:lineRule="auto"/>
        <w:jc w:val="both"/>
        <w:rPr>
          <w:rFonts w:cs="Times New Roman"/>
          <w:sz w:val="24"/>
          <w:szCs w:val="24"/>
        </w:rPr>
      </w:pPr>
      <w:r w:rsidRPr="00781215">
        <w:rPr>
          <w:rFonts w:ascii="Arial" w:hAnsi="Arial" w:cs="Arial"/>
          <w:sz w:val="24"/>
          <w:szCs w:val="24"/>
        </w:rPr>
        <w:t xml:space="preserve">Tabla 2. Distribución de los pacientes que usan Vimang según nivel educacional y </w:t>
      </w:r>
      <w:r w:rsidR="00BF53B2" w:rsidRPr="00BF53B2">
        <w:rPr>
          <w:rFonts w:ascii="Arial" w:hAnsi="Arial" w:cs="Arial"/>
          <w:sz w:val="24"/>
          <w:szCs w:val="24"/>
        </w:rPr>
        <w:t>fuente de información mediante la cual tuvieron acceso al mismo.</w:t>
      </w:r>
    </w:p>
    <w:p w:rsidR="009B73B5" w:rsidRPr="009B73B5" w:rsidRDefault="009B73B5" w:rsidP="009B73B5">
      <w:pPr>
        <w:spacing w:after="0" w:line="276" w:lineRule="auto"/>
        <w:jc w:val="both"/>
        <w:rPr>
          <w:rFonts w:cs="Times New Roman"/>
          <w:sz w:val="24"/>
          <w:szCs w:val="24"/>
        </w:rPr>
      </w:pPr>
    </w:p>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9"/>
        <w:gridCol w:w="1295"/>
        <w:gridCol w:w="1038"/>
        <w:gridCol w:w="1274"/>
        <w:gridCol w:w="714"/>
        <w:gridCol w:w="1226"/>
        <w:gridCol w:w="709"/>
        <w:gridCol w:w="907"/>
      </w:tblGrid>
      <w:tr w:rsidR="00843B5E" w:rsidRPr="00843B5E" w:rsidTr="001B2ADB">
        <w:trPr>
          <w:gridBefore w:val="1"/>
          <w:wBefore w:w="2449" w:type="dxa"/>
          <w:trHeight w:val="279"/>
        </w:trPr>
        <w:tc>
          <w:tcPr>
            <w:tcW w:w="7163" w:type="dxa"/>
            <w:gridSpan w:val="7"/>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Fuente de información</w:t>
            </w:r>
          </w:p>
        </w:tc>
      </w:tr>
      <w:tr w:rsidR="00843B5E" w:rsidRPr="00843B5E" w:rsidTr="00BF53B2">
        <w:trPr>
          <w:trHeight w:val="693"/>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Nivel educacional</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Comentario Popular.</w:t>
            </w:r>
          </w:p>
        </w:tc>
        <w:tc>
          <w:tcPr>
            <w:tcW w:w="1038" w:type="dxa"/>
            <w:vAlign w:val="center"/>
          </w:tcPr>
          <w:p w:rsidR="00843B5E" w:rsidRPr="00843B5E" w:rsidRDefault="00843B5E" w:rsidP="00BF53B2">
            <w:pPr>
              <w:spacing w:after="0" w:line="240" w:lineRule="auto"/>
              <w:ind w:left="5"/>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Farmacia</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Consultorio Médico</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Radio</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Televisión.</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Total</w:t>
            </w:r>
          </w:p>
        </w:tc>
        <w:tc>
          <w:tcPr>
            <w:tcW w:w="907" w:type="dxa"/>
            <w:vAlign w:val="center"/>
          </w:tcPr>
          <w:p w:rsidR="00843B5E" w:rsidRPr="00843B5E" w:rsidRDefault="00843B5E" w:rsidP="00843B5E">
            <w:pPr>
              <w:spacing w:after="0" w:line="360" w:lineRule="auto"/>
              <w:jc w:val="center"/>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sz w:val="24"/>
                <w:szCs w:val="24"/>
                <w:lang w:val="es-ES" w:eastAsia="es-ES"/>
              </w:rPr>
              <w:t>%</w:t>
            </w:r>
          </w:p>
        </w:tc>
      </w:tr>
      <w:tr w:rsidR="00843B5E" w:rsidRPr="00843B5E" w:rsidTr="00BF53B2">
        <w:trPr>
          <w:trHeight w:val="293"/>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Primaria sin terminar</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3.3</w:t>
            </w:r>
          </w:p>
        </w:tc>
      </w:tr>
      <w:tr w:rsidR="00843B5E" w:rsidRPr="00843B5E" w:rsidTr="00BF53B2">
        <w:trPr>
          <w:trHeight w:val="143"/>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Primaria terminada</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3</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4</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13.3</w:t>
            </w:r>
          </w:p>
        </w:tc>
      </w:tr>
      <w:tr w:rsidR="00843B5E" w:rsidRPr="00843B5E" w:rsidTr="00BF53B2">
        <w:trPr>
          <w:trHeight w:val="149"/>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Secundaria sin terminar</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2</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2</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6.6</w:t>
            </w:r>
          </w:p>
        </w:tc>
      </w:tr>
      <w:tr w:rsidR="00843B5E" w:rsidRPr="00843B5E" w:rsidTr="00BF53B2">
        <w:trPr>
          <w:trHeight w:val="85"/>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Secundaria terminada</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3</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5</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16.6</w:t>
            </w:r>
          </w:p>
        </w:tc>
      </w:tr>
      <w:tr w:rsidR="00843B5E" w:rsidRPr="00843B5E" w:rsidTr="00BF53B2">
        <w:trPr>
          <w:trHeight w:val="431"/>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Preuniversitario sin terminar</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r>
      <w:tr w:rsidR="00843B5E" w:rsidRPr="00843B5E" w:rsidTr="00BF53B2">
        <w:trPr>
          <w:trHeight w:val="442"/>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Preuniversitario terminado</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3</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4</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2</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11</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36.6</w:t>
            </w:r>
          </w:p>
        </w:tc>
      </w:tr>
      <w:tr w:rsidR="00843B5E" w:rsidRPr="00843B5E" w:rsidTr="00BF53B2">
        <w:trPr>
          <w:trHeight w:val="313"/>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Universidad sin terminar</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r>
      <w:tr w:rsidR="00843B5E" w:rsidRPr="00843B5E" w:rsidTr="00BF53B2">
        <w:trPr>
          <w:trHeight w:val="182"/>
        </w:trPr>
        <w:tc>
          <w:tcPr>
            <w:tcW w:w="244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sz w:val="24"/>
                <w:szCs w:val="24"/>
                <w:lang w:val="es-ES" w:eastAsia="es-ES"/>
              </w:rPr>
              <w:t>Universidad terminada</w:t>
            </w:r>
          </w:p>
        </w:tc>
        <w:tc>
          <w:tcPr>
            <w:tcW w:w="1295"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4</w:t>
            </w:r>
          </w:p>
        </w:tc>
        <w:tc>
          <w:tcPr>
            <w:tcW w:w="1038"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3</w:t>
            </w:r>
          </w:p>
        </w:tc>
        <w:tc>
          <w:tcPr>
            <w:tcW w:w="127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14"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1226"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0</w:t>
            </w:r>
          </w:p>
        </w:tc>
        <w:tc>
          <w:tcPr>
            <w:tcW w:w="709" w:type="dxa"/>
            <w:vAlign w:val="center"/>
          </w:tcPr>
          <w:p w:rsidR="00843B5E" w:rsidRPr="00843B5E" w:rsidRDefault="00843B5E" w:rsidP="00BF53B2">
            <w:pPr>
              <w:spacing w:after="0" w:line="24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7</w:t>
            </w:r>
          </w:p>
        </w:tc>
        <w:tc>
          <w:tcPr>
            <w:tcW w:w="907" w:type="dxa"/>
          </w:tcPr>
          <w:p w:rsidR="00843B5E" w:rsidRPr="00843B5E" w:rsidRDefault="00843B5E" w:rsidP="00843B5E">
            <w:pPr>
              <w:spacing w:after="0" w:line="360" w:lineRule="auto"/>
              <w:jc w:val="both"/>
              <w:rPr>
                <w:rFonts w:ascii="Times New Roman" w:eastAsia="Times New Roman" w:hAnsi="Times New Roman" w:cs="Times New Roman"/>
                <w:bCs/>
                <w:sz w:val="24"/>
                <w:szCs w:val="24"/>
                <w:lang w:val="es-ES" w:eastAsia="es-ES"/>
              </w:rPr>
            </w:pPr>
            <w:r w:rsidRPr="00843B5E">
              <w:rPr>
                <w:rFonts w:ascii="Times New Roman" w:eastAsia="Times New Roman" w:hAnsi="Times New Roman" w:cs="Times New Roman"/>
                <w:bCs/>
                <w:sz w:val="24"/>
                <w:szCs w:val="24"/>
                <w:lang w:val="es-ES" w:eastAsia="es-ES"/>
              </w:rPr>
              <w:t>23.3</w:t>
            </w:r>
          </w:p>
        </w:tc>
      </w:tr>
      <w:tr w:rsidR="00843B5E" w:rsidRPr="00843B5E" w:rsidTr="00BF53B2">
        <w:trPr>
          <w:trHeight w:val="189"/>
        </w:trPr>
        <w:tc>
          <w:tcPr>
            <w:tcW w:w="2449"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Total</w:t>
            </w:r>
          </w:p>
        </w:tc>
        <w:tc>
          <w:tcPr>
            <w:tcW w:w="1295"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12</w:t>
            </w:r>
          </w:p>
        </w:tc>
        <w:tc>
          <w:tcPr>
            <w:tcW w:w="1038"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8</w:t>
            </w:r>
          </w:p>
        </w:tc>
        <w:tc>
          <w:tcPr>
            <w:tcW w:w="1274"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5</w:t>
            </w:r>
          </w:p>
        </w:tc>
        <w:tc>
          <w:tcPr>
            <w:tcW w:w="714"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4</w:t>
            </w:r>
          </w:p>
        </w:tc>
        <w:tc>
          <w:tcPr>
            <w:tcW w:w="1226"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1</w:t>
            </w:r>
          </w:p>
        </w:tc>
        <w:tc>
          <w:tcPr>
            <w:tcW w:w="709"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30</w:t>
            </w:r>
          </w:p>
        </w:tc>
        <w:tc>
          <w:tcPr>
            <w:tcW w:w="907" w:type="dxa"/>
          </w:tcPr>
          <w:p w:rsidR="00843B5E" w:rsidRPr="00843B5E" w:rsidRDefault="00843B5E" w:rsidP="00843B5E">
            <w:pPr>
              <w:spacing w:after="0" w:line="36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100</w:t>
            </w:r>
          </w:p>
        </w:tc>
      </w:tr>
      <w:tr w:rsidR="00843B5E" w:rsidRPr="00843B5E" w:rsidTr="00BF53B2">
        <w:trPr>
          <w:gridAfter w:val="1"/>
          <w:wAfter w:w="907" w:type="dxa"/>
          <w:trHeight w:val="85"/>
        </w:trPr>
        <w:tc>
          <w:tcPr>
            <w:tcW w:w="2449"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w:t>
            </w:r>
          </w:p>
        </w:tc>
        <w:tc>
          <w:tcPr>
            <w:tcW w:w="1295"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40.0</w:t>
            </w:r>
          </w:p>
        </w:tc>
        <w:tc>
          <w:tcPr>
            <w:tcW w:w="1038"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26.6</w:t>
            </w:r>
          </w:p>
        </w:tc>
        <w:tc>
          <w:tcPr>
            <w:tcW w:w="1274"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16.6</w:t>
            </w:r>
          </w:p>
        </w:tc>
        <w:tc>
          <w:tcPr>
            <w:tcW w:w="714"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13.3</w:t>
            </w:r>
          </w:p>
        </w:tc>
        <w:tc>
          <w:tcPr>
            <w:tcW w:w="1226"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3.3</w:t>
            </w:r>
          </w:p>
        </w:tc>
        <w:tc>
          <w:tcPr>
            <w:tcW w:w="709" w:type="dxa"/>
            <w:vAlign w:val="center"/>
          </w:tcPr>
          <w:p w:rsidR="00843B5E" w:rsidRPr="00843B5E" w:rsidRDefault="00843B5E" w:rsidP="00BF53B2">
            <w:pPr>
              <w:spacing w:after="0" w:line="240" w:lineRule="auto"/>
              <w:jc w:val="both"/>
              <w:rPr>
                <w:rFonts w:ascii="Times New Roman" w:eastAsia="SimSun" w:hAnsi="Times New Roman" w:cs="Times New Roman"/>
                <w:sz w:val="24"/>
                <w:szCs w:val="24"/>
                <w:lang w:val="es-ES"/>
              </w:rPr>
            </w:pPr>
            <w:r w:rsidRPr="00843B5E">
              <w:rPr>
                <w:rFonts w:ascii="Times New Roman" w:eastAsia="SimSun" w:hAnsi="Times New Roman" w:cs="Times New Roman"/>
                <w:sz w:val="24"/>
                <w:szCs w:val="24"/>
                <w:lang w:val="es-ES"/>
              </w:rPr>
              <w:t>100</w:t>
            </w:r>
          </w:p>
        </w:tc>
      </w:tr>
    </w:tbl>
    <w:p w:rsidR="00843B5E" w:rsidRPr="00843B5E" w:rsidRDefault="00843B5E" w:rsidP="00843B5E">
      <w:pPr>
        <w:spacing w:after="0" w:line="360" w:lineRule="auto"/>
        <w:jc w:val="both"/>
        <w:rPr>
          <w:rFonts w:ascii="Times New Roman" w:eastAsia="Times New Roman" w:hAnsi="Times New Roman" w:cs="Times New Roman"/>
          <w:sz w:val="24"/>
          <w:szCs w:val="24"/>
          <w:lang w:val="es-ES" w:eastAsia="es-ES"/>
        </w:rPr>
      </w:pPr>
      <w:r w:rsidRPr="00843B5E">
        <w:rPr>
          <w:rFonts w:ascii="Times New Roman" w:eastAsia="Times New Roman" w:hAnsi="Times New Roman" w:cs="Times New Roman"/>
          <w:b/>
          <w:sz w:val="24"/>
          <w:szCs w:val="24"/>
          <w:lang w:val="es-ES" w:eastAsia="es-ES"/>
        </w:rPr>
        <w:t xml:space="preserve">Fuente: </w:t>
      </w:r>
      <w:r w:rsidRPr="00843B5E">
        <w:rPr>
          <w:rFonts w:ascii="Times New Roman" w:eastAsia="Times New Roman" w:hAnsi="Times New Roman" w:cs="Times New Roman"/>
          <w:sz w:val="24"/>
          <w:szCs w:val="24"/>
          <w:lang w:val="es-ES" w:eastAsia="es-ES"/>
        </w:rPr>
        <w:t>Entrevista médica</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lastRenderedPageBreak/>
        <w:t xml:space="preserve">La tabla 2 muestra la distribución de los pacientes que usan Vimang según nivel educacional y fuente de información mediante la cual tuvieron acceso al mismo. Se observa predominio del comentario popular como fuente de información para un 40%. Por otra </w:t>
      </w:r>
      <w:r w:rsidR="009B73B5" w:rsidRPr="00781215">
        <w:rPr>
          <w:rFonts w:ascii="Arial" w:hAnsi="Arial" w:cs="Arial"/>
          <w:sz w:val="24"/>
          <w:szCs w:val="24"/>
        </w:rPr>
        <w:t>parte,</w:t>
      </w:r>
      <w:r w:rsidRPr="00781215">
        <w:rPr>
          <w:rFonts w:ascii="Arial" w:hAnsi="Arial" w:cs="Arial"/>
          <w:sz w:val="24"/>
          <w:szCs w:val="24"/>
        </w:rPr>
        <w:t xml:space="preserve"> el nivel educacional que prevaleció en el estudio es el preuniversitario terminado, representado por un 36.6%.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Tabla 3. Distribución de los pacientes que usan el Vimang según antecedentes patológicos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900"/>
        <w:gridCol w:w="851"/>
      </w:tblGrid>
      <w:tr w:rsidR="00843B5E" w:rsidTr="001B2ADB">
        <w:trPr>
          <w:trHeight w:val="585"/>
        </w:trPr>
        <w:tc>
          <w:tcPr>
            <w:tcW w:w="3240" w:type="dxa"/>
            <w:vAlign w:val="center"/>
          </w:tcPr>
          <w:p w:rsidR="00843B5E" w:rsidRDefault="00843B5E" w:rsidP="00BF53B2">
            <w:pPr>
              <w:pStyle w:val="NormalWeb"/>
              <w:spacing w:before="0" w:beforeAutospacing="0" w:after="0" w:afterAutospacing="0"/>
              <w:jc w:val="both"/>
              <w:rPr>
                <w:rStyle w:val="corchete-llamada"/>
                <w:bCs/>
              </w:rPr>
            </w:pPr>
            <w:r>
              <w:t>Antecedentes patológicos personales.</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Total</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w:t>
            </w:r>
          </w:p>
        </w:tc>
      </w:tr>
      <w:tr w:rsidR="00843B5E" w:rsidTr="001B2ADB">
        <w:trPr>
          <w:trHeight w:val="597"/>
        </w:trPr>
        <w:tc>
          <w:tcPr>
            <w:tcW w:w="3240" w:type="dxa"/>
            <w:vAlign w:val="center"/>
          </w:tcPr>
          <w:p w:rsidR="00843B5E" w:rsidRDefault="00843B5E" w:rsidP="00BF53B2">
            <w:pPr>
              <w:pStyle w:val="NormalWeb"/>
              <w:spacing w:before="0" w:beforeAutospacing="0" w:after="0" w:afterAutospacing="0"/>
              <w:jc w:val="both"/>
              <w:rPr>
                <w:rStyle w:val="corchete-llamada"/>
                <w:bCs/>
              </w:rPr>
            </w:pPr>
            <w:r>
              <w:t>Hipertensión arterial</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10</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23</w:t>
            </w:r>
          </w:p>
        </w:tc>
      </w:tr>
      <w:tr w:rsidR="00843B5E" w:rsidTr="001B2ADB">
        <w:trPr>
          <w:trHeight w:val="603"/>
        </w:trPr>
        <w:tc>
          <w:tcPr>
            <w:tcW w:w="3240" w:type="dxa"/>
            <w:vAlign w:val="center"/>
          </w:tcPr>
          <w:p w:rsidR="00843B5E" w:rsidRDefault="00843B5E" w:rsidP="00BF53B2">
            <w:pPr>
              <w:pStyle w:val="NormalWeb"/>
              <w:spacing w:before="0" w:beforeAutospacing="0" w:after="0" w:afterAutospacing="0"/>
              <w:jc w:val="both"/>
              <w:rPr>
                <w:rStyle w:val="corchete-llamada"/>
                <w:bCs/>
              </w:rPr>
            </w:pPr>
            <w:r>
              <w:t>Diabetes Mellitus tipo II</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w:t>
            </w:r>
          </w:p>
        </w:tc>
      </w:tr>
      <w:tr w:rsidR="00843B5E" w:rsidTr="001B2ADB">
        <w:trPr>
          <w:trHeight w:val="440"/>
        </w:trPr>
        <w:tc>
          <w:tcPr>
            <w:tcW w:w="3240" w:type="dxa"/>
            <w:vAlign w:val="center"/>
          </w:tcPr>
          <w:p w:rsidR="00843B5E" w:rsidRDefault="00843B5E" w:rsidP="00BF53B2">
            <w:pPr>
              <w:pStyle w:val="NormalWeb"/>
              <w:spacing w:before="0" w:beforeAutospacing="0" w:after="0" w:afterAutospacing="0"/>
              <w:jc w:val="both"/>
              <w:rPr>
                <w:rStyle w:val="corchete-llamada"/>
                <w:bCs/>
              </w:rPr>
            </w:pPr>
            <w:r>
              <w:t>Asma Bronquial</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5</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12</w:t>
            </w:r>
          </w:p>
        </w:tc>
      </w:tr>
      <w:tr w:rsidR="00843B5E" w:rsidTr="001B2ADB">
        <w:trPr>
          <w:trHeight w:val="720"/>
        </w:trPr>
        <w:tc>
          <w:tcPr>
            <w:tcW w:w="3240" w:type="dxa"/>
            <w:vAlign w:val="center"/>
          </w:tcPr>
          <w:p w:rsidR="00843B5E" w:rsidRDefault="00843B5E" w:rsidP="00BF53B2">
            <w:pPr>
              <w:pStyle w:val="NormalWeb"/>
              <w:spacing w:before="0" w:beforeAutospacing="0" w:after="0" w:afterAutospacing="0"/>
              <w:jc w:val="both"/>
              <w:rPr>
                <w:rStyle w:val="corchete-llamada"/>
                <w:bCs/>
              </w:rPr>
            </w:pPr>
            <w:r>
              <w:t>Migraña</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4</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9</w:t>
            </w:r>
          </w:p>
        </w:tc>
      </w:tr>
      <w:tr w:rsidR="00843B5E" w:rsidTr="001B2ADB">
        <w:trPr>
          <w:trHeight w:val="525"/>
        </w:trPr>
        <w:tc>
          <w:tcPr>
            <w:tcW w:w="3240" w:type="dxa"/>
            <w:vAlign w:val="center"/>
          </w:tcPr>
          <w:p w:rsidR="00843B5E" w:rsidRDefault="00843B5E" w:rsidP="00BF53B2">
            <w:pPr>
              <w:pStyle w:val="NormalWeb"/>
              <w:spacing w:before="0" w:beforeAutospacing="0" w:after="0" w:afterAutospacing="0"/>
              <w:jc w:val="both"/>
              <w:rPr>
                <w:rStyle w:val="corchete-llamada"/>
                <w:bCs/>
              </w:rPr>
            </w:pPr>
            <w:r>
              <w:t>Cardiopatía Isquémica</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3</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7</w:t>
            </w:r>
          </w:p>
        </w:tc>
      </w:tr>
      <w:tr w:rsidR="00843B5E" w:rsidTr="001B2ADB">
        <w:trPr>
          <w:trHeight w:val="360"/>
        </w:trPr>
        <w:tc>
          <w:tcPr>
            <w:tcW w:w="3240" w:type="dxa"/>
            <w:vAlign w:val="center"/>
          </w:tcPr>
          <w:p w:rsidR="00843B5E" w:rsidRDefault="00843B5E" w:rsidP="00BF53B2">
            <w:pPr>
              <w:pStyle w:val="NormalWeb"/>
              <w:spacing w:before="0" w:beforeAutospacing="0" w:after="0" w:afterAutospacing="0"/>
              <w:jc w:val="both"/>
              <w:rPr>
                <w:rStyle w:val="corchete-llamada"/>
                <w:bCs/>
              </w:rPr>
            </w:pPr>
            <w:r>
              <w:t>Gastritis</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5</w:t>
            </w:r>
          </w:p>
        </w:tc>
      </w:tr>
      <w:tr w:rsidR="00843B5E" w:rsidTr="001B2ADB">
        <w:trPr>
          <w:trHeight w:val="463"/>
        </w:trPr>
        <w:tc>
          <w:tcPr>
            <w:tcW w:w="3240" w:type="dxa"/>
            <w:vAlign w:val="center"/>
          </w:tcPr>
          <w:p w:rsidR="00843B5E" w:rsidRDefault="00843B5E" w:rsidP="00BF53B2">
            <w:pPr>
              <w:pStyle w:val="NormalWeb"/>
              <w:spacing w:before="0" w:beforeAutospacing="0" w:after="0" w:afterAutospacing="0"/>
              <w:jc w:val="both"/>
              <w:rPr>
                <w:rStyle w:val="corchete-llamada"/>
                <w:bCs/>
              </w:rPr>
            </w:pPr>
            <w:r>
              <w:t>Artrosis</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6</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14</w:t>
            </w:r>
          </w:p>
        </w:tc>
      </w:tr>
      <w:tr w:rsidR="00843B5E" w:rsidTr="001B2ADB">
        <w:trPr>
          <w:trHeight w:val="603"/>
        </w:trPr>
        <w:tc>
          <w:tcPr>
            <w:tcW w:w="3240" w:type="dxa"/>
            <w:vAlign w:val="center"/>
          </w:tcPr>
          <w:p w:rsidR="00843B5E" w:rsidRDefault="00843B5E" w:rsidP="00BF53B2">
            <w:pPr>
              <w:pStyle w:val="NormalWeb"/>
              <w:spacing w:before="0" w:beforeAutospacing="0" w:after="0" w:afterAutospacing="0"/>
              <w:jc w:val="both"/>
              <w:rPr>
                <w:rStyle w:val="corchete-llamada"/>
                <w:bCs/>
              </w:rPr>
            </w:pPr>
            <w:r>
              <w:t>Glaucoma</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3</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7</w:t>
            </w:r>
          </w:p>
        </w:tc>
      </w:tr>
      <w:tr w:rsidR="00843B5E" w:rsidTr="001B2ADB">
        <w:trPr>
          <w:trHeight w:val="606"/>
        </w:trPr>
        <w:tc>
          <w:tcPr>
            <w:tcW w:w="3240" w:type="dxa"/>
            <w:vAlign w:val="center"/>
          </w:tcPr>
          <w:p w:rsidR="00843B5E" w:rsidRDefault="00843B5E" w:rsidP="00BF53B2">
            <w:pPr>
              <w:pStyle w:val="NormalWeb"/>
              <w:spacing w:before="0" w:beforeAutospacing="0" w:after="0" w:afterAutospacing="0"/>
              <w:jc w:val="both"/>
              <w:rPr>
                <w:rStyle w:val="corchete-llamada"/>
                <w:bCs/>
              </w:rPr>
            </w:pPr>
            <w:r>
              <w:t>Bronquitis Crónica</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w:t>
            </w:r>
          </w:p>
        </w:tc>
      </w:tr>
      <w:tr w:rsidR="00843B5E" w:rsidTr="001B2ADB">
        <w:trPr>
          <w:trHeight w:val="720"/>
        </w:trPr>
        <w:tc>
          <w:tcPr>
            <w:tcW w:w="3240" w:type="dxa"/>
            <w:vAlign w:val="center"/>
          </w:tcPr>
          <w:p w:rsidR="00843B5E" w:rsidRDefault="00843B5E" w:rsidP="00BF53B2">
            <w:pPr>
              <w:pStyle w:val="NormalWeb"/>
              <w:spacing w:before="0" w:beforeAutospacing="0" w:after="0" w:afterAutospacing="0"/>
              <w:jc w:val="both"/>
              <w:rPr>
                <w:rStyle w:val="corchete-llamada"/>
                <w:bCs/>
              </w:rPr>
            </w:pPr>
            <w:r>
              <w:t>Enfermedad Pulmonar Obstructiva Crónica</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w:t>
            </w:r>
          </w:p>
        </w:tc>
      </w:tr>
      <w:tr w:rsidR="00843B5E" w:rsidTr="001B2ADB">
        <w:trPr>
          <w:trHeight w:val="431"/>
        </w:trPr>
        <w:tc>
          <w:tcPr>
            <w:tcW w:w="3240" w:type="dxa"/>
            <w:vAlign w:val="center"/>
          </w:tcPr>
          <w:p w:rsidR="00843B5E" w:rsidRDefault="00843B5E" w:rsidP="00BF53B2">
            <w:pPr>
              <w:pStyle w:val="NormalWeb"/>
              <w:spacing w:before="0" w:beforeAutospacing="0" w:after="0" w:afterAutospacing="0"/>
              <w:jc w:val="both"/>
              <w:rPr>
                <w:rStyle w:val="corchete-llamada"/>
                <w:bCs/>
              </w:rPr>
            </w:pPr>
            <w:r>
              <w:t>Hipotiroidismo</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4</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9</w:t>
            </w:r>
          </w:p>
        </w:tc>
      </w:tr>
      <w:tr w:rsidR="00843B5E" w:rsidTr="001B2ADB">
        <w:trPr>
          <w:trHeight w:val="525"/>
        </w:trPr>
        <w:tc>
          <w:tcPr>
            <w:tcW w:w="3240" w:type="dxa"/>
            <w:vAlign w:val="center"/>
          </w:tcPr>
          <w:p w:rsidR="00843B5E" w:rsidRDefault="00843B5E" w:rsidP="00BF53B2">
            <w:pPr>
              <w:pStyle w:val="NormalWeb"/>
              <w:spacing w:before="0" w:beforeAutospacing="0" w:after="0" w:afterAutospacing="0"/>
              <w:jc w:val="both"/>
              <w:rPr>
                <w:rStyle w:val="corchete-llamada"/>
                <w:bCs/>
              </w:rPr>
            </w:pPr>
            <w:r>
              <w:t>Osteoporosis</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w:t>
            </w:r>
          </w:p>
        </w:tc>
      </w:tr>
      <w:tr w:rsidR="00843B5E" w:rsidTr="001B2ADB">
        <w:trPr>
          <w:trHeight w:val="333"/>
        </w:trPr>
        <w:tc>
          <w:tcPr>
            <w:tcW w:w="3240" w:type="dxa"/>
            <w:vAlign w:val="center"/>
          </w:tcPr>
          <w:p w:rsidR="00843B5E" w:rsidRDefault="00843B5E" w:rsidP="00BF53B2">
            <w:pPr>
              <w:pStyle w:val="NormalWeb"/>
              <w:spacing w:before="0" w:beforeAutospacing="0" w:after="0" w:afterAutospacing="0"/>
              <w:jc w:val="both"/>
              <w:rPr>
                <w:rStyle w:val="corchete-llamada"/>
                <w:bCs/>
              </w:rPr>
            </w:pPr>
            <w:r>
              <w:t>Tiroiditis Crónica</w:t>
            </w:r>
          </w:p>
        </w:tc>
        <w:tc>
          <w:tcPr>
            <w:tcW w:w="900"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1</w:t>
            </w:r>
          </w:p>
        </w:tc>
        <w:tc>
          <w:tcPr>
            <w:tcW w:w="851" w:type="dxa"/>
            <w:vAlign w:val="center"/>
          </w:tcPr>
          <w:p w:rsidR="00843B5E" w:rsidRDefault="00843B5E" w:rsidP="00BF53B2">
            <w:pPr>
              <w:pStyle w:val="NormalWeb"/>
              <w:spacing w:before="0" w:beforeAutospacing="0" w:after="0" w:afterAutospacing="0"/>
              <w:jc w:val="both"/>
              <w:rPr>
                <w:rStyle w:val="corchete-llamada"/>
                <w:bCs/>
              </w:rPr>
            </w:pPr>
            <w:r>
              <w:rPr>
                <w:rStyle w:val="corchete-llamada"/>
                <w:bCs/>
              </w:rPr>
              <w:t>2</w:t>
            </w:r>
          </w:p>
        </w:tc>
      </w:tr>
      <w:tr w:rsidR="00843B5E" w:rsidTr="001B2ADB">
        <w:trPr>
          <w:trHeight w:val="390"/>
        </w:trPr>
        <w:tc>
          <w:tcPr>
            <w:tcW w:w="324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Faringitis Crónica.</w:t>
            </w:r>
          </w:p>
        </w:tc>
        <w:tc>
          <w:tcPr>
            <w:tcW w:w="90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1</w:t>
            </w:r>
          </w:p>
        </w:tc>
        <w:tc>
          <w:tcPr>
            <w:tcW w:w="851"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2</w:t>
            </w:r>
          </w:p>
        </w:tc>
      </w:tr>
    </w:tbl>
    <w:p w:rsidR="009B73B5" w:rsidRDefault="009B73B5" w:rsidP="009B73B5">
      <w:pPr>
        <w:spacing w:line="276" w:lineRule="auto"/>
        <w:jc w:val="both"/>
        <w:rPr>
          <w:rFonts w:ascii="Arial" w:hAnsi="Arial" w:cs="Arial"/>
          <w:sz w:val="24"/>
          <w:szCs w:val="24"/>
        </w:rPr>
      </w:pP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La tabla 3 muestra la distribución de los pacientes según antecedentes patológicos personales donde 10 pacientes padecían Hipertensión Arterial para un 23% de total.</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Tabla 4. Distribución de los pacientes que usan el Vimang según, la afección para lo que fue utilizado y presentación que prefieren los pacientes.</w:t>
      </w:r>
    </w:p>
    <w:tbl>
      <w:tblPr>
        <w:tblpPr w:leftFromText="141" w:rightFromText="141"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850"/>
        <w:gridCol w:w="709"/>
        <w:gridCol w:w="992"/>
        <w:gridCol w:w="637"/>
        <w:gridCol w:w="781"/>
        <w:gridCol w:w="709"/>
        <w:gridCol w:w="920"/>
        <w:gridCol w:w="920"/>
      </w:tblGrid>
      <w:tr w:rsidR="00843B5E" w:rsidTr="001B2ADB">
        <w:trPr>
          <w:trHeight w:val="416"/>
        </w:trPr>
        <w:tc>
          <w:tcPr>
            <w:tcW w:w="2127" w:type="dxa"/>
            <w:vAlign w:val="center"/>
          </w:tcPr>
          <w:p w:rsidR="00843B5E" w:rsidRDefault="00843B5E" w:rsidP="00BF53B2">
            <w:pPr>
              <w:spacing w:after="0" w:line="240" w:lineRule="auto"/>
              <w:ind w:left="68"/>
              <w:jc w:val="both"/>
              <w:rPr>
                <w:rFonts w:cs="Times New Roman"/>
                <w:sz w:val="24"/>
                <w:szCs w:val="24"/>
              </w:rPr>
            </w:pPr>
          </w:p>
          <w:p w:rsidR="00843B5E" w:rsidRDefault="00843B5E" w:rsidP="00BF53B2">
            <w:pPr>
              <w:spacing w:after="0" w:line="240" w:lineRule="auto"/>
              <w:ind w:left="68"/>
              <w:jc w:val="both"/>
              <w:rPr>
                <w:rFonts w:cs="Times New Roman"/>
                <w:sz w:val="24"/>
                <w:szCs w:val="24"/>
              </w:rPr>
            </w:pPr>
          </w:p>
        </w:tc>
        <w:tc>
          <w:tcPr>
            <w:tcW w:w="5598" w:type="dxa"/>
            <w:gridSpan w:val="7"/>
            <w:vAlign w:val="center"/>
          </w:tcPr>
          <w:p w:rsidR="00843B5E" w:rsidRDefault="00843B5E" w:rsidP="00BF53B2">
            <w:pPr>
              <w:spacing w:after="0" w:line="240" w:lineRule="auto"/>
              <w:jc w:val="both"/>
              <w:rPr>
                <w:rFonts w:cs="Times New Roman"/>
                <w:sz w:val="24"/>
                <w:szCs w:val="24"/>
              </w:rPr>
            </w:pPr>
            <w:r>
              <w:rPr>
                <w:rFonts w:cs="Times New Roman"/>
                <w:sz w:val="24"/>
                <w:szCs w:val="24"/>
              </w:rPr>
              <w:t>Presentación preferida por el paciente</w:t>
            </w:r>
          </w:p>
        </w:tc>
        <w:tc>
          <w:tcPr>
            <w:tcW w:w="920" w:type="dxa"/>
          </w:tcPr>
          <w:p w:rsidR="00843B5E" w:rsidRDefault="00843B5E" w:rsidP="00BF53B2">
            <w:pPr>
              <w:spacing w:after="0" w:line="240" w:lineRule="auto"/>
              <w:jc w:val="both"/>
              <w:rPr>
                <w:rFonts w:cs="Times New Roman"/>
                <w:sz w:val="24"/>
                <w:szCs w:val="24"/>
              </w:rPr>
            </w:pPr>
          </w:p>
        </w:tc>
      </w:tr>
      <w:tr w:rsidR="00843B5E" w:rsidTr="001B2ADB">
        <w:trPr>
          <w:trHeight w:val="714"/>
        </w:trPr>
        <w:tc>
          <w:tcPr>
            <w:tcW w:w="2127" w:type="dxa"/>
            <w:vAlign w:val="center"/>
          </w:tcPr>
          <w:p w:rsidR="00843B5E" w:rsidRDefault="00843B5E" w:rsidP="00BF53B2">
            <w:pPr>
              <w:pStyle w:val="NormalWeb"/>
              <w:spacing w:before="0" w:beforeAutospacing="0" w:after="0" w:afterAutospacing="0"/>
              <w:jc w:val="both"/>
            </w:pPr>
            <w:r>
              <w:t>Afección para lo que fue utilizado.</w:t>
            </w:r>
          </w:p>
        </w:tc>
        <w:tc>
          <w:tcPr>
            <w:tcW w:w="850" w:type="dxa"/>
            <w:vAlign w:val="center"/>
          </w:tcPr>
          <w:p w:rsidR="00843B5E" w:rsidRDefault="00843B5E" w:rsidP="00BF53B2">
            <w:pPr>
              <w:spacing w:after="0" w:line="240" w:lineRule="auto"/>
              <w:jc w:val="both"/>
              <w:rPr>
                <w:rFonts w:eastAsia="Times New Roman" w:cs="Times New Roman"/>
                <w:sz w:val="24"/>
                <w:szCs w:val="24"/>
                <w:lang w:eastAsia="es-ES"/>
              </w:rPr>
            </w:pPr>
          </w:p>
          <w:p w:rsidR="00843B5E" w:rsidRDefault="00843B5E" w:rsidP="00BF53B2">
            <w:pPr>
              <w:pStyle w:val="NormalWeb"/>
              <w:spacing w:before="0" w:beforeAutospacing="0" w:after="0" w:afterAutospacing="0"/>
              <w:jc w:val="both"/>
            </w:pPr>
            <w:r>
              <w:t>Jarabe</w:t>
            </w:r>
          </w:p>
        </w:tc>
        <w:tc>
          <w:tcPr>
            <w:tcW w:w="709" w:type="dxa"/>
            <w:vAlign w:val="center"/>
          </w:tcPr>
          <w:p w:rsidR="00843B5E" w:rsidRDefault="00843B5E" w:rsidP="00BF53B2">
            <w:pPr>
              <w:spacing w:after="0" w:line="240" w:lineRule="auto"/>
              <w:jc w:val="both"/>
              <w:rPr>
                <w:rFonts w:eastAsia="Times New Roman" w:cs="Times New Roman"/>
                <w:sz w:val="24"/>
                <w:szCs w:val="24"/>
                <w:lang w:eastAsia="es-ES"/>
              </w:rPr>
            </w:pPr>
          </w:p>
          <w:p w:rsidR="00843B5E" w:rsidRDefault="00843B5E" w:rsidP="00BF53B2">
            <w:pPr>
              <w:pStyle w:val="NormalWeb"/>
              <w:spacing w:before="0" w:beforeAutospacing="0" w:after="0" w:afterAutospacing="0"/>
              <w:jc w:val="both"/>
            </w:pPr>
            <w:r>
              <w:t>%</w:t>
            </w:r>
          </w:p>
        </w:tc>
        <w:tc>
          <w:tcPr>
            <w:tcW w:w="992" w:type="dxa"/>
            <w:vAlign w:val="center"/>
          </w:tcPr>
          <w:p w:rsidR="00843B5E" w:rsidRDefault="00843B5E" w:rsidP="00BF53B2">
            <w:pPr>
              <w:pStyle w:val="NormalWeb"/>
              <w:spacing w:before="0" w:beforeAutospacing="0" w:after="0" w:afterAutospacing="0"/>
              <w:jc w:val="both"/>
            </w:pPr>
          </w:p>
          <w:p w:rsidR="00843B5E" w:rsidRDefault="00843B5E" w:rsidP="00BF53B2">
            <w:pPr>
              <w:pStyle w:val="NormalWeb"/>
              <w:spacing w:before="0" w:beforeAutospacing="0" w:after="0" w:afterAutospacing="0"/>
              <w:jc w:val="both"/>
            </w:pPr>
            <w:r>
              <w:t>Tabletas</w:t>
            </w:r>
          </w:p>
        </w:tc>
        <w:tc>
          <w:tcPr>
            <w:tcW w:w="637" w:type="dxa"/>
            <w:vAlign w:val="center"/>
          </w:tcPr>
          <w:p w:rsidR="00843B5E" w:rsidRDefault="00843B5E" w:rsidP="00BF53B2">
            <w:pPr>
              <w:spacing w:after="0" w:line="240" w:lineRule="auto"/>
              <w:jc w:val="both"/>
              <w:rPr>
                <w:rFonts w:eastAsia="Times New Roman" w:cs="Times New Roman"/>
                <w:sz w:val="24"/>
                <w:szCs w:val="24"/>
                <w:lang w:eastAsia="es-ES"/>
              </w:rPr>
            </w:pPr>
          </w:p>
          <w:p w:rsidR="00843B5E" w:rsidRDefault="00843B5E" w:rsidP="00BF53B2">
            <w:pPr>
              <w:pStyle w:val="NormalWeb"/>
              <w:spacing w:before="0" w:beforeAutospacing="0" w:after="0" w:afterAutospacing="0"/>
              <w:jc w:val="both"/>
            </w:pPr>
            <w:r>
              <w:t>%</w:t>
            </w:r>
          </w:p>
        </w:tc>
        <w:tc>
          <w:tcPr>
            <w:tcW w:w="781" w:type="dxa"/>
            <w:vAlign w:val="center"/>
          </w:tcPr>
          <w:p w:rsidR="00843B5E" w:rsidRDefault="00843B5E" w:rsidP="00BF53B2">
            <w:pPr>
              <w:pStyle w:val="NormalWeb"/>
              <w:spacing w:before="0" w:beforeAutospacing="0" w:after="0" w:afterAutospacing="0"/>
              <w:jc w:val="both"/>
            </w:pPr>
          </w:p>
          <w:p w:rsidR="00843B5E" w:rsidRDefault="00843B5E" w:rsidP="00BF53B2">
            <w:pPr>
              <w:spacing w:after="0" w:line="240" w:lineRule="auto"/>
              <w:jc w:val="both"/>
              <w:rPr>
                <w:rFonts w:eastAsia="Times New Roman" w:cs="Times New Roman"/>
                <w:sz w:val="24"/>
                <w:szCs w:val="24"/>
                <w:lang w:eastAsia="es-ES"/>
              </w:rPr>
            </w:pPr>
            <w:r>
              <w:rPr>
                <w:rFonts w:cs="Times New Roman"/>
                <w:sz w:val="24"/>
                <w:szCs w:val="24"/>
              </w:rPr>
              <w:t>Crema</w:t>
            </w:r>
          </w:p>
        </w:tc>
        <w:tc>
          <w:tcPr>
            <w:tcW w:w="709" w:type="dxa"/>
            <w:vAlign w:val="center"/>
          </w:tcPr>
          <w:p w:rsidR="00843B5E" w:rsidRDefault="00843B5E" w:rsidP="00BF53B2">
            <w:pPr>
              <w:spacing w:after="0" w:line="240" w:lineRule="auto"/>
              <w:jc w:val="center"/>
              <w:rPr>
                <w:rFonts w:cs="Times New Roman"/>
                <w:sz w:val="24"/>
                <w:szCs w:val="24"/>
              </w:rPr>
            </w:pPr>
            <w:r>
              <w:rPr>
                <w:rFonts w:cs="Times New Roman"/>
                <w:sz w:val="24"/>
                <w:szCs w:val="24"/>
              </w:rPr>
              <w:t>%</w:t>
            </w:r>
          </w:p>
        </w:tc>
        <w:tc>
          <w:tcPr>
            <w:tcW w:w="920" w:type="dxa"/>
            <w:vAlign w:val="center"/>
          </w:tcPr>
          <w:p w:rsidR="00843B5E" w:rsidRDefault="00843B5E" w:rsidP="00BF53B2">
            <w:pPr>
              <w:spacing w:after="0" w:line="240" w:lineRule="auto"/>
              <w:jc w:val="center"/>
              <w:rPr>
                <w:rFonts w:cs="Times New Roman"/>
                <w:sz w:val="24"/>
                <w:szCs w:val="24"/>
              </w:rPr>
            </w:pPr>
          </w:p>
          <w:p w:rsidR="00843B5E" w:rsidRDefault="00843B5E" w:rsidP="00BF53B2">
            <w:pPr>
              <w:spacing w:after="0" w:line="240" w:lineRule="auto"/>
              <w:rPr>
                <w:rFonts w:cs="Times New Roman"/>
                <w:sz w:val="24"/>
                <w:szCs w:val="24"/>
              </w:rPr>
            </w:pPr>
          </w:p>
          <w:p w:rsidR="00843B5E" w:rsidRDefault="00843B5E" w:rsidP="00BF53B2">
            <w:pPr>
              <w:spacing w:after="0" w:line="240" w:lineRule="auto"/>
              <w:jc w:val="center"/>
              <w:rPr>
                <w:rFonts w:cs="Times New Roman"/>
                <w:sz w:val="24"/>
                <w:szCs w:val="24"/>
              </w:rPr>
            </w:pPr>
            <w:r>
              <w:rPr>
                <w:rFonts w:cs="Times New Roman"/>
                <w:sz w:val="24"/>
                <w:szCs w:val="24"/>
              </w:rPr>
              <w:t>Total</w:t>
            </w:r>
          </w:p>
        </w:tc>
        <w:tc>
          <w:tcPr>
            <w:tcW w:w="920" w:type="dxa"/>
            <w:vAlign w:val="center"/>
          </w:tcPr>
          <w:p w:rsidR="00843B5E" w:rsidRDefault="00843B5E" w:rsidP="00BF53B2">
            <w:pPr>
              <w:spacing w:after="0" w:line="240" w:lineRule="auto"/>
              <w:jc w:val="center"/>
              <w:rPr>
                <w:rFonts w:cs="Times New Roman"/>
                <w:sz w:val="24"/>
                <w:szCs w:val="24"/>
              </w:rPr>
            </w:pPr>
            <w:r>
              <w:rPr>
                <w:rFonts w:cs="Times New Roman"/>
                <w:sz w:val="24"/>
                <w:szCs w:val="24"/>
              </w:rPr>
              <w:t>%</w:t>
            </w:r>
          </w:p>
        </w:tc>
      </w:tr>
      <w:tr w:rsidR="00843B5E" w:rsidTr="001B2ADB">
        <w:trPr>
          <w:trHeight w:val="371"/>
        </w:trPr>
        <w:tc>
          <w:tcPr>
            <w:tcW w:w="2127"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Catarro</w:t>
            </w:r>
          </w:p>
        </w:tc>
        <w:tc>
          <w:tcPr>
            <w:tcW w:w="850" w:type="dxa"/>
            <w:vAlign w:val="center"/>
          </w:tcPr>
          <w:p w:rsidR="00843B5E" w:rsidRDefault="00843B5E" w:rsidP="00BF53B2">
            <w:pPr>
              <w:pStyle w:val="NormalWeb"/>
              <w:spacing w:before="0" w:beforeAutospacing="0" w:after="0" w:afterAutospacing="0"/>
              <w:jc w:val="both"/>
            </w:pPr>
            <w:r>
              <w:t>10</w:t>
            </w:r>
          </w:p>
        </w:tc>
        <w:tc>
          <w:tcPr>
            <w:tcW w:w="709" w:type="dxa"/>
            <w:vAlign w:val="center"/>
          </w:tcPr>
          <w:p w:rsidR="00843B5E" w:rsidRDefault="00843B5E" w:rsidP="00BF53B2">
            <w:pPr>
              <w:pStyle w:val="NormalWeb"/>
              <w:spacing w:before="0" w:beforeAutospacing="0" w:after="0" w:afterAutospacing="0"/>
              <w:jc w:val="both"/>
            </w:pPr>
            <w:r>
              <w:t>33.3</w:t>
            </w:r>
          </w:p>
        </w:tc>
        <w:tc>
          <w:tcPr>
            <w:tcW w:w="992" w:type="dxa"/>
            <w:vAlign w:val="center"/>
          </w:tcPr>
          <w:p w:rsidR="00843B5E" w:rsidRDefault="00843B5E" w:rsidP="00BF53B2">
            <w:pPr>
              <w:pStyle w:val="NormalWeb"/>
              <w:spacing w:before="0" w:beforeAutospacing="0" w:after="0" w:afterAutospacing="0"/>
              <w:jc w:val="both"/>
            </w:pPr>
            <w:r>
              <w:t>0</w:t>
            </w:r>
          </w:p>
        </w:tc>
        <w:tc>
          <w:tcPr>
            <w:tcW w:w="637" w:type="dxa"/>
            <w:vAlign w:val="center"/>
          </w:tcPr>
          <w:p w:rsidR="00843B5E" w:rsidRDefault="00843B5E" w:rsidP="00BF53B2">
            <w:pPr>
              <w:pStyle w:val="NormalWeb"/>
              <w:spacing w:before="0" w:beforeAutospacing="0" w:after="0" w:afterAutospacing="0"/>
              <w:jc w:val="both"/>
            </w:pPr>
            <w:r>
              <w:t>0</w:t>
            </w:r>
          </w:p>
        </w:tc>
        <w:tc>
          <w:tcPr>
            <w:tcW w:w="781" w:type="dxa"/>
            <w:vAlign w:val="center"/>
          </w:tcPr>
          <w:p w:rsidR="00843B5E" w:rsidRDefault="00843B5E" w:rsidP="00BF53B2">
            <w:pPr>
              <w:pStyle w:val="NormalWeb"/>
              <w:spacing w:before="0" w:beforeAutospacing="0" w:after="0" w:afterAutospacing="0"/>
              <w:jc w:val="both"/>
            </w:pPr>
            <w:r>
              <w:t>0</w:t>
            </w:r>
          </w:p>
        </w:tc>
        <w:tc>
          <w:tcPr>
            <w:tcW w:w="709"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0</w:t>
            </w:r>
          </w:p>
        </w:tc>
        <w:tc>
          <w:tcPr>
            <w:tcW w:w="92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10</w:t>
            </w:r>
          </w:p>
        </w:tc>
        <w:tc>
          <w:tcPr>
            <w:tcW w:w="920" w:type="dxa"/>
          </w:tcPr>
          <w:p w:rsidR="00843B5E" w:rsidRDefault="00843B5E" w:rsidP="00BF53B2">
            <w:pPr>
              <w:spacing w:after="0" w:line="240" w:lineRule="auto"/>
              <w:jc w:val="both"/>
              <w:rPr>
                <w:rFonts w:cs="Times New Roman"/>
                <w:sz w:val="24"/>
                <w:szCs w:val="24"/>
              </w:rPr>
            </w:pPr>
            <w:r>
              <w:rPr>
                <w:rFonts w:cs="Times New Roman"/>
                <w:sz w:val="24"/>
                <w:szCs w:val="24"/>
              </w:rPr>
              <w:t>33.3</w:t>
            </w:r>
          </w:p>
        </w:tc>
      </w:tr>
      <w:tr w:rsidR="00843B5E" w:rsidTr="001B2ADB">
        <w:trPr>
          <w:trHeight w:val="628"/>
        </w:trPr>
        <w:tc>
          <w:tcPr>
            <w:tcW w:w="2127" w:type="dxa"/>
            <w:vAlign w:val="center"/>
          </w:tcPr>
          <w:p w:rsidR="00843B5E" w:rsidRDefault="00843B5E" w:rsidP="00BF53B2">
            <w:pPr>
              <w:pStyle w:val="NormalWeb"/>
              <w:spacing w:before="0" w:beforeAutospacing="0" w:after="0" w:afterAutospacing="0"/>
              <w:jc w:val="both"/>
            </w:pPr>
            <w:r>
              <w:t>Lesiones en piel (manchas)</w:t>
            </w:r>
          </w:p>
        </w:tc>
        <w:tc>
          <w:tcPr>
            <w:tcW w:w="850" w:type="dxa"/>
            <w:vAlign w:val="center"/>
          </w:tcPr>
          <w:p w:rsidR="00843B5E" w:rsidRDefault="00843B5E" w:rsidP="00BF53B2">
            <w:pPr>
              <w:pStyle w:val="NormalWeb"/>
              <w:spacing w:before="0" w:beforeAutospacing="0" w:after="0" w:afterAutospacing="0"/>
              <w:jc w:val="both"/>
            </w:pPr>
            <w:r>
              <w:t>2</w:t>
            </w:r>
          </w:p>
        </w:tc>
        <w:tc>
          <w:tcPr>
            <w:tcW w:w="709" w:type="dxa"/>
            <w:vAlign w:val="center"/>
          </w:tcPr>
          <w:p w:rsidR="00843B5E" w:rsidRDefault="00843B5E" w:rsidP="00BF53B2">
            <w:pPr>
              <w:pStyle w:val="NormalWeb"/>
              <w:spacing w:before="0" w:beforeAutospacing="0" w:after="0" w:afterAutospacing="0"/>
              <w:jc w:val="both"/>
            </w:pPr>
            <w:r>
              <w:t>6.6</w:t>
            </w:r>
          </w:p>
        </w:tc>
        <w:tc>
          <w:tcPr>
            <w:tcW w:w="992" w:type="dxa"/>
            <w:vAlign w:val="center"/>
          </w:tcPr>
          <w:p w:rsidR="00843B5E" w:rsidRDefault="00843B5E" w:rsidP="00BF53B2">
            <w:pPr>
              <w:pStyle w:val="NormalWeb"/>
              <w:spacing w:before="0" w:beforeAutospacing="0" w:after="0" w:afterAutospacing="0"/>
              <w:jc w:val="both"/>
            </w:pPr>
            <w:r>
              <w:t>0</w:t>
            </w:r>
          </w:p>
        </w:tc>
        <w:tc>
          <w:tcPr>
            <w:tcW w:w="637" w:type="dxa"/>
            <w:vAlign w:val="center"/>
          </w:tcPr>
          <w:p w:rsidR="00843B5E" w:rsidRDefault="00843B5E" w:rsidP="00BF53B2">
            <w:pPr>
              <w:pStyle w:val="NormalWeb"/>
              <w:spacing w:before="0" w:beforeAutospacing="0" w:after="0" w:afterAutospacing="0"/>
              <w:jc w:val="both"/>
            </w:pPr>
            <w:r>
              <w:t>0</w:t>
            </w:r>
          </w:p>
        </w:tc>
        <w:tc>
          <w:tcPr>
            <w:tcW w:w="781" w:type="dxa"/>
            <w:vAlign w:val="center"/>
          </w:tcPr>
          <w:p w:rsidR="00843B5E" w:rsidRDefault="00843B5E" w:rsidP="00BF53B2">
            <w:pPr>
              <w:pStyle w:val="NormalWeb"/>
              <w:spacing w:before="0" w:beforeAutospacing="0" w:after="0" w:afterAutospacing="0"/>
              <w:jc w:val="both"/>
            </w:pPr>
            <w:r>
              <w:t>4</w:t>
            </w:r>
          </w:p>
        </w:tc>
        <w:tc>
          <w:tcPr>
            <w:tcW w:w="709"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13.3</w:t>
            </w:r>
          </w:p>
        </w:tc>
        <w:tc>
          <w:tcPr>
            <w:tcW w:w="92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6</w:t>
            </w:r>
          </w:p>
        </w:tc>
        <w:tc>
          <w:tcPr>
            <w:tcW w:w="920" w:type="dxa"/>
          </w:tcPr>
          <w:p w:rsidR="00843B5E" w:rsidRDefault="00843B5E" w:rsidP="00BF53B2">
            <w:pPr>
              <w:spacing w:after="0" w:line="240" w:lineRule="auto"/>
              <w:jc w:val="both"/>
              <w:rPr>
                <w:rFonts w:cs="Times New Roman"/>
                <w:sz w:val="24"/>
                <w:szCs w:val="24"/>
              </w:rPr>
            </w:pPr>
            <w:r>
              <w:rPr>
                <w:rFonts w:cs="Times New Roman"/>
                <w:sz w:val="24"/>
                <w:szCs w:val="24"/>
              </w:rPr>
              <w:t>20.0</w:t>
            </w:r>
          </w:p>
        </w:tc>
      </w:tr>
      <w:tr w:rsidR="00843B5E" w:rsidTr="001B2ADB">
        <w:trPr>
          <w:trHeight w:val="515"/>
        </w:trPr>
        <w:tc>
          <w:tcPr>
            <w:tcW w:w="2127" w:type="dxa"/>
            <w:vAlign w:val="center"/>
          </w:tcPr>
          <w:p w:rsidR="00843B5E" w:rsidRDefault="00843B5E" w:rsidP="00BF53B2">
            <w:pPr>
              <w:pStyle w:val="NormalWeb"/>
              <w:spacing w:before="0" w:beforeAutospacing="0" w:after="0" w:afterAutospacing="0"/>
              <w:jc w:val="both"/>
              <w:rPr>
                <w:rStyle w:val="corchete-llamada"/>
                <w:bCs/>
                <w:vertAlign w:val="superscript"/>
              </w:rPr>
            </w:pPr>
            <w:r>
              <w:t>Acné</w:t>
            </w:r>
          </w:p>
        </w:tc>
        <w:tc>
          <w:tcPr>
            <w:tcW w:w="850" w:type="dxa"/>
            <w:vAlign w:val="center"/>
          </w:tcPr>
          <w:p w:rsidR="00843B5E" w:rsidRDefault="00843B5E" w:rsidP="00BF53B2">
            <w:pPr>
              <w:pStyle w:val="NormalWeb"/>
              <w:spacing w:before="0" w:beforeAutospacing="0" w:after="0" w:afterAutospacing="0"/>
              <w:jc w:val="both"/>
            </w:pPr>
            <w:r>
              <w:t>0</w:t>
            </w:r>
          </w:p>
        </w:tc>
        <w:tc>
          <w:tcPr>
            <w:tcW w:w="709" w:type="dxa"/>
            <w:vAlign w:val="center"/>
          </w:tcPr>
          <w:p w:rsidR="00843B5E" w:rsidRDefault="00843B5E" w:rsidP="00BF53B2">
            <w:pPr>
              <w:pStyle w:val="NormalWeb"/>
              <w:spacing w:before="0" w:beforeAutospacing="0" w:after="0" w:afterAutospacing="0"/>
              <w:jc w:val="both"/>
            </w:pPr>
            <w:r>
              <w:t>0</w:t>
            </w:r>
          </w:p>
        </w:tc>
        <w:tc>
          <w:tcPr>
            <w:tcW w:w="992" w:type="dxa"/>
            <w:vAlign w:val="center"/>
          </w:tcPr>
          <w:p w:rsidR="00843B5E" w:rsidRDefault="00843B5E" w:rsidP="00BF53B2">
            <w:pPr>
              <w:pStyle w:val="NormalWeb"/>
              <w:spacing w:before="0" w:beforeAutospacing="0" w:after="0" w:afterAutospacing="0"/>
              <w:jc w:val="both"/>
            </w:pPr>
            <w:r>
              <w:t>0</w:t>
            </w:r>
          </w:p>
        </w:tc>
        <w:tc>
          <w:tcPr>
            <w:tcW w:w="637" w:type="dxa"/>
            <w:vAlign w:val="center"/>
          </w:tcPr>
          <w:p w:rsidR="00843B5E" w:rsidRDefault="00843B5E" w:rsidP="00BF53B2">
            <w:pPr>
              <w:pStyle w:val="NormalWeb"/>
              <w:spacing w:before="0" w:beforeAutospacing="0" w:after="0" w:afterAutospacing="0"/>
              <w:jc w:val="both"/>
            </w:pPr>
            <w:r>
              <w:t>0</w:t>
            </w:r>
          </w:p>
        </w:tc>
        <w:tc>
          <w:tcPr>
            <w:tcW w:w="781" w:type="dxa"/>
            <w:vAlign w:val="center"/>
          </w:tcPr>
          <w:p w:rsidR="00843B5E" w:rsidRDefault="00843B5E" w:rsidP="00BF53B2">
            <w:pPr>
              <w:pStyle w:val="NormalWeb"/>
              <w:spacing w:before="0" w:beforeAutospacing="0" w:after="0" w:afterAutospacing="0"/>
              <w:jc w:val="both"/>
            </w:pPr>
            <w:r>
              <w:t>4</w:t>
            </w:r>
          </w:p>
        </w:tc>
        <w:tc>
          <w:tcPr>
            <w:tcW w:w="709"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13.3</w:t>
            </w:r>
          </w:p>
        </w:tc>
        <w:tc>
          <w:tcPr>
            <w:tcW w:w="92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4</w:t>
            </w:r>
          </w:p>
        </w:tc>
        <w:tc>
          <w:tcPr>
            <w:tcW w:w="920" w:type="dxa"/>
          </w:tcPr>
          <w:p w:rsidR="00843B5E" w:rsidRDefault="00843B5E" w:rsidP="00BF53B2">
            <w:pPr>
              <w:spacing w:after="0" w:line="240" w:lineRule="auto"/>
              <w:jc w:val="both"/>
              <w:rPr>
                <w:rFonts w:cs="Times New Roman"/>
                <w:sz w:val="24"/>
                <w:szCs w:val="24"/>
              </w:rPr>
            </w:pPr>
            <w:r>
              <w:rPr>
                <w:rFonts w:cs="Times New Roman"/>
                <w:sz w:val="24"/>
                <w:szCs w:val="24"/>
              </w:rPr>
              <w:t>13.3</w:t>
            </w:r>
          </w:p>
        </w:tc>
      </w:tr>
      <w:tr w:rsidR="00843B5E" w:rsidTr="001B2ADB">
        <w:trPr>
          <w:trHeight w:val="551"/>
        </w:trPr>
        <w:tc>
          <w:tcPr>
            <w:tcW w:w="2127" w:type="dxa"/>
            <w:vAlign w:val="center"/>
          </w:tcPr>
          <w:p w:rsidR="00843B5E" w:rsidRDefault="00843B5E" w:rsidP="00BF53B2">
            <w:pPr>
              <w:pStyle w:val="NormalWeb"/>
              <w:spacing w:before="0" w:beforeAutospacing="0" w:after="0" w:afterAutospacing="0"/>
              <w:jc w:val="both"/>
              <w:rPr>
                <w:lang w:eastAsia="en-US"/>
              </w:rPr>
            </w:pPr>
            <w:r>
              <w:t>Decaimiento</w:t>
            </w:r>
          </w:p>
        </w:tc>
        <w:tc>
          <w:tcPr>
            <w:tcW w:w="850" w:type="dxa"/>
            <w:vAlign w:val="center"/>
          </w:tcPr>
          <w:p w:rsidR="00843B5E" w:rsidRDefault="00843B5E" w:rsidP="00BF53B2">
            <w:pPr>
              <w:pStyle w:val="NormalWeb"/>
              <w:spacing w:before="0" w:beforeAutospacing="0" w:after="0" w:afterAutospacing="0"/>
              <w:jc w:val="both"/>
              <w:rPr>
                <w:lang w:eastAsia="en-US"/>
              </w:rPr>
            </w:pPr>
            <w:r>
              <w:rPr>
                <w:lang w:eastAsia="en-US"/>
              </w:rPr>
              <w:t>6</w:t>
            </w:r>
          </w:p>
        </w:tc>
        <w:tc>
          <w:tcPr>
            <w:tcW w:w="709" w:type="dxa"/>
            <w:vAlign w:val="center"/>
          </w:tcPr>
          <w:p w:rsidR="00843B5E" w:rsidRDefault="00843B5E" w:rsidP="00BF53B2">
            <w:pPr>
              <w:pStyle w:val="NormalWeb"/>
              <w:spacing w:before="0" w:beforeAutospacing="0" w:after="0" w:afterAutospacing="0"/>
              <w:jc w:val="both"/>
              <w:rPr>
                <w:lang w:eastAsia="en-US"/>
              </w:rPr>
            </w:pPr>
            <w:r>
              <w:rPr>
                <w:lang w:eastAsia="en-US"/>
              </w:rPr>
              <w:t>20.0</w:t>
            </w:r>
          </w:p>
        </w:tc>
        <w:tc>
          <w:tcPr>
            <w:tcW w:w="992" w:type="dxa"/>
            <w:vAlign w:val="center"/>
          </w:tcPr>
          <w:p w:rsidR="00843B5E" w:rsidRDefault="00843B5E" w:rsidP="00BF53B2">
            <w:pPr>
              <w:pStyle w:val="NormalWeb"/>
              <w:spacing w:before="0" w:beforeAutospacing="0" w:after="0" w:afterAutospacing="0"/>
              <w:jc w:val="both"/>
              <w:rPr>
                <w:lang w:eastAsia="en-US"/>
              </w:rPr>
            </w:pPr>
            <w:r>
              <w:rPr>
                <w:lang w:eastAsia="en-US"/>
              </w:rPr>
              <w:t>0</w:t>
            </w:r>
          </w:p>
        </w:tc>
        <w:tc>
          <w:tcPr>
            <w:tcW w:w="637" w:type="dxa"/>
            <w:vAlign w:val="center"/>
          </w:tcPr>
          <w:p w:rsidR="00843B5E" w:rsidRDefault="00843B5E" w:rsidP="00BF53B2">
            <w:pPr>
              <w:pStyle w:val="NormalWeb"/>
              <w:spacing w:before="0" w:beforeAutospacing="0" w:after="0" w:afterAutospacing="0"/>
              <w:jc w:val="both"/>
              <w:rPr>
                <w:lang w:eastAsia="en-US"/>
              </w:rPr>
            </w:pPr>
            <w:r>
              <w:rPr>
                <w:lang w:eastAsia="en-US"/>
              </w:rPr>
              <w:t>0</w:t>
            </w:r>
          </w:p>
        </w:tc>
        <w:tc>
          <w:tcPr>
            <w:tcW w:w="781" w:type="dxa"/>
            <w:vAlign w:val="center"/>
          </w:tcPr>
          <w:p w:rsidR="00843B5E" w:rsidRDefault="00843B5E" w:rsidP="00BF53B2">
            <w:pPr>
              <w:pStyle w:val="NormalWeb"/>
              <w:spacing w:before="0" w:beforeAutospacing="0" w:after="0" w:afterAutospacing="0"/>
              <w:jc w:val="both"/>
              <w:rPr>
                <w:lang w:eastAsia="en-US"/>
              </w:rPr>
            </w:pPr>
            <w:r>
              <w:rPr>
                <w:lang w:eastAsia="en-US"/>
              </w:rPr>
              <w:t>0</w:t>
            </w:r>
          </w:p>
        </w:tc>
        <w:tc>
          <w:tcPr>
            <w:tcW w:w="709"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0</w:t>
            </w:r>
          </w:p>
        </w:tc>
        <w:tc>
          <w:tcPr>
            <w:tcW w:w="92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6</w:t>
            </w:r>
          </w:p>
        </w:tc>
        <w:tc>
          <w:tcPr>
            <w:tcW w:w="920" w:type="dxa"/>
          </w:tcPr>
          <w:p w:rsidR="00843B5E" w:rsidRDefault="00843B5E" w:rsidP="00BF53B2">
            <w:pPr>
              <w:spacing w:after="0" w:line="240" w:lineRule="auto"/>
              <w:jc w:val="both"/>
              <w:rPr>
                <w:rFonts w:cs="Times New Roman"/>
                <w:sz w:val="24"/>
                <w:szCs w:val="24"/>
              </w:rPr>
            </w:pPr>
            <w:r>
              <w:rPr>
                <w:rFonts w:cs="Times New Roman"/>
                <w:sz w:val="24"/>
                <w:szCs w:val="24"/>
              </w:rPr>
              <w:t>20.0</w:t>
            </w:r>
          </w:p>
        </w:tc>
      </w:tr>
      <w:tr w:rsidR="00843B5E" w:rsidTr="001B2ADB">
        <w:trPr>
          <w:trHeight w:val="710"/>
        </w:trPr>
        <w:tc>
          <w:tcPr>
            <w:tcW w:w="2127" w:type="dxa"/>
            <w:vAlign w:val="center"/>
          </w:tcPr>
          <w:p w:rsidR="00843B5E" w:rsidRDefault="00843B5E" w:rsidP="00BF53B2">
            <w:pPr>
              <w:pStyle w:val="NormalWeb"/>
              <w:spacing w:before="0" w:beforeAutospacing="0" w:after="0" w:afterAutospacing="0"/>
              <w:jc w:val="both"/>
              <w:rPr>
                <w:rStyle w:val="corchete-llamada"/>
                <w:bCs/>
                <w:vertAlign w:val="superscript"/>
              </w:rPr>
            </w:pPr>
            <w:r>
              <w:t>Problemas circulatorios</w:t>
            </w:r>
          </w:p>
        </w:tc>
        <w:tc>
          <w:tcPr>
            <w:tcW w:w="850" w:type="dxa"/>
            <w:vAlign w:val="center"/>
          </w:tcPr>
          <w:p w:rsidR="00843B5E" w:rsidRDefault="00843B5E" w:rsidP="00BF53B2">
            <w:pPr>
              <w:pStyle w:val="NormalWeb"/>
              <w:spacing w:before="0" w:beforeAutospacing="0" w:after="0" w:afterAutospacing="0"/>
              <w:jc w:val="both"/>
            </w:pPr>
            <w:r>
              <w:t>0</w:t>
            </w:r>
          </w:p>
        </w:tc>
        <w:tc>
          <w:tcPr>
            <w:tcW w:w="709" w:type="dxa"/>
            <w:vAlign w:val="center"/>
          </w:tcPr>
          <w:p w:rsidR="00843B5E" w:rsidRDefault="00843B5E" w:rsidP="00BF53B2">
            <w:pPr>
              <w:pStyle w:val="NormalWeb"/>
              <w:spacing w:before="0" w:beforeAutospacing="0" w:after="0" w:afterAutospacing="0"/>
              <w:jc w:val="both"/>
            </w:pPr>
            <w:r>
              <w:t>0</w:t>
            </w:r>
          </w:p>
        </w:tc>
        <w:tc>
          <w:tcPr>
            <w:tcW w:w="992" w:type="dxa"/>
            <w:vAlign w:val="center"/>
          </w:tcPr>
          <w:p w:rsidR="00843B5E" w:rsidRDefault="00843B5E" w:rsidP="00BF53B2">
            <w:pPr>
              <w:pStyle w:val="NormalWeb"/>
              <w:spacing w:before="0" w:beforeAutospacing="0" w:after="0" w:afterAutospacing="0"/>
              <w:jc w:val="both"/>
            </w:pPr>
            <w:r>
              <w:t>1</w:t>
            </w:r>
          </w:p>
        </w:tc>
        <w:tc>
          <w:tcPr>
            <w:tcW w:w="637" w:type="dxa"/>
            <w:vAlign w:val="center"/>
          </w:tcPr>
          <w:p w:rsidR="00843B5E" w:rsidRDefault="00843B5E" w:rsidP="00BF53B2">
            <w:pPr>
              <w:pStyle w:val="NormalWeb"/>
              <w:spacing w:before="0" w:beforeAutospacing="0" w:after="0" w:afterAutospacing="0"/>
              <w:jc w:val="both"/>
            </w:pPr>
            <w:r>
              <w:t>3.3</w:t>
            </w:r>
          </w:p>
        </w:tc>
        <w:tc>
          <w:tcPr>
            <w:tcW w:w="781" w:type="dxa"/>
            <w:vAlign w:val="center"/>
          </w:tcPr>
          <w:p w:rsidR="00843B5E" w:rsidRDefault="00843B5E" w:rsidP="00BF53B2">
            <w:pPr>
              <w:pStyle w:val="NormalWeb"/>
              <w:spacing w:before="0" w:beforeAutospacing="0" w:after="0" w:afterAutospacing="0"/>
              <w:jc w:val="both"/>
            </w:pPr>
            <w:r>
              <w:t>2</w:t>
            </w:r>
          </w:p>
        </w:tc>
        <w:tc>
          <w:tcPr>
            <w:tcW w:w="709"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6.6</w:t>
            </w:r>
          </w:p>
        </w:tc>
        <w:tc>
          <w:tcPr>
            <w:tcW w:w="92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3</w:t>
            </w:r>
          </w:p>
        </w:tc>
        <w:tc>
          <w:tcPr>
            <w:tcW w:w="920" w:type="dxa"/>
          </w:tcPr>
          <w:p w:rsidR="00843B5E" w:rsidRDefault="00843B5E" w:rsidP="00BF53B2">
            <w:pPr>
              <w:spacing w:after="0" w:line="240" w:lineRule="auto"/>
              <w:jc w:val="both"/>
              <w:rPr>
                <w:rFonts w:cs="Times New Roman"/>
                <w:sz w:val="24"/>
                <w:szCs w:val="24"/>
              </w:rPr>
            </w:pPr>
            <w:r>
              <w:rPr>
                <w:rFonts w:cs="Times New Roman"/>
                <w:sz w:val="24"/>
                <w:szCs w:val="24"/>
              </w:rPr>
              <w:t>10</w:t>
            </w:r>
          </w:p>
        </w:tc>
      </w:tr>
      <w:tr w:rsidR="00843B5E" w:rsidTr="001B2ADB">
        <w:trPr>
          <w:trHeight w:val="580"/>
        </w:trPr>
        <w:tc>
          <w:tcPr>
            <w:tcW w:w="2127" w:type="dxa"/>
            <w:vAlign w:val="center"/>
          </w:tcPr>
          <w:p w:rsidR="00843B5E" w:rsidRDefault="00843B5E" w:rsidP="00BF53B2">
            <w:pPr>
              <w:pStyle w:val="NormalWeb"/>
              <w:spacing w:before="0" w:beforeAutospacing="0" w:after="0" w:afterAutospacing="0"/>
              <w:jc w:val="both"/>
              <w:rPr>
                <w:rStyle w:val="corchete-llamada"/>
                <w:bCs/>
                <w:vertAlign w:val="superscript"/>
              </w:rPr>
            </w:pPr>
            <w:r>
              <w:t>Neumonía</w:t>
            </w:r>
          </w:p>
        </w:tc>
        <w:tc>
          <w:tcPr>
            <w:tcW w:w="850" w:type="dxa"/>
            <w:vAlign w:val="center"/>
          </w:tcPr>
          <w:p w:rsidR="00843B5E" w:rsidRDefault="00843B5E" w:rsidP="00BF53B2">
            <w:pPr>
              <w:pStyle w:val="NormalWeb"/>
              <w:spacing w:before="0" w:beforeAutospacing="0" w:after="0" w:afterAutospacing="0"/>
              <w:jc w:val="both"/>
            </w:pPr>
            <w:r>
              <w:t>1</w:t>
            </w:r>
          </w:p>
        </w:tc>
        <w:tc>
          <w:tcPr>
            <w:tcW w:w="709" w:type="dxa"/>
            <w:vAlign w:val="center"/>
          </w:tcPr>
          <w:p w:rsidR="00843B5E" w:rsidRDefault="00843B5E" w:rsidP="00BF53B2">
            <w:pPr>
              <w:pStyle w:val="NormalWeb"/>
              <w:spacing w:before="0" w:beforeAutospacing="0" w:after="0" w:afterAutospacing="0"/>
              <w:jc w:val="both"/>
            </w:pPr>
            <w:r>
              <w:t>3.3</w:t>
            </w:r>
          </w:p>
        </w:tc>
        <w:tc>
          <w:tcPr>
            <w:tcW w:w="992" w:type="dxa"/>
            <w:vAlign w:val="center"/>
          </w:tcPr>
          <w:p w:rsidR="00843B5E" w:rsidRDefault="00843B5E" w:rsidP="00BF53B2">
            <w:pPr>
              <w:pStyle w:val="NormalWeb"/>
              <w:spacing w:before="0" w:beforeAutospacing="0" w:after="0" w:afterAutospacing="0"/>
              <w:jc w:val="both"/>
            </w:pPr>
            <w:r>
              <w:t>0</w:t>
            </w:r>
          </w:p>
        </w:tc>
        <w:tc>
          <w:tcPr>
            <w:tcW w:w="637" w:type="dxa"/>
            <w:vAlign w:val="center"/>
          </w:tcPr>
          <w:p w:rsidR="00843B5E" w:rsidRDefault="00843B5E" w:rsidP="00BF53B2">
            <w:pPr>
              <w:pStyle w:val="NormalWeb"/>
              <w:spacing w:before="0" w:beforeAutospacing="0" w:after="0" w:afterAutospacing="0"/>
              <w:jc w:val="both"/>
            </w:pPr>
            <w:r>
              <w:t>0</w:t>
            </w:r>
          </w:p>
        </w:tc>
        <w:tc>
          <w:tcPr>
            <w:tcW w:w="781" w:type="dxa"/>
            <w:vAlign w:val="center"/>
          </w:tcPr>
          <w:p w:rsidR="00843B5E" w:rsidRDefault="00843B5E" w:rsidP="00BF53B2">
            <w:pPr>
              <w:pStyle w:val="NormalWeb"/>
              <w:spacing w:before="0" w:beforeAutospacing="0" w:after="0" w:afterAutospacing="0"/>
              <w:jc w:val="both"/>
            </w:pPr>
            <w:r>
              <w:t>0</w:t>
            </w:r>
          </w:p>
        </w:tc>
        <w:tc>
          <w:tcPr>
            <w:tcW w:w="709"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0</w:t>
            </w:r>
          </w:p>
        </w:tc>
        <w:tc>
          <w:tcPr>
            <w:tcW w:w="920" w:type="dxa"/>
            <w:vAlign w:val="center"/>
          </w:tcPr>
          <w:p w:rsidR="00843B5E" w:rsidRDefault="00843B5E" w:rsidP="00BF53B2">
            <w:pPr>
              <w:spacing w:after="0" w:line="240" w:lineRule="auto"/>
              <w:jc w:val="both"/>
              <w:rPr>
                <w:rFonts w:cs="Times New Roman"/>
                <w:sz w:val="24"/>
                <w:szCs w:val="24"/>
              </w:rPr>
            </w:pPr>
            <w:r>
              <w:rPr>
                <w:rFonts w:cs="Times New Roman"/>
                <w:sz w:val="24"/>
                <w:szCs w:val="24"/>
              </w:rPr>
              <w:t>1</w:t>
            </w:r>
          </w:p>
        </w:tc>
        <w:tc>
          <w:tcPr>
            <w:tcW w:w="920" w:type="dxa"/>
          </w:tcPr>
          <w:p w:rsidR="00843B5E" w:rsidRDefault="00843B5E" w:rsidP="00BF53B2">
            <w:pPr>
              <w:spacing w:after="0" w:line="240" w:lineRule="auto"/>
              <w:jc w:val="both"/>
              <w:rPr>
                <w:rFonts w:cs="Times New Roman"/>
                <w:sz w:val="24"/>
                <w:szCs w:val="24"/>
              </w:rPr>
            </w:pPr>
            <w:r>
              <w:rPr>
                <w:rFonts w:cs="Times New Roman"/>
                <w:sz w:val="24"/>
                <w:szCs w:val="24"/>
              </w:rPr>
              <w:t>3.3</w:t>
            </w:r>
          </w:p>
        </w:tc>
      </w:tr>
      <w:tr w:rsidR="00843B5E" w:rsidTr="001B2ADB">
        <w:trPr>
          <w:trHeight w:val="430"/>
        </w:trPr>
        <w:tc>
          <w:tcPr>
            <w:tcW w:w="2127"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Total</w:t>
            </w:r>
          </w:p>
        </w:tc>
        <w:tc>
          <w:tcPr>
            <w:tcW w:w="850"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19</w:t>
            </w:r>
          </w:p>
        </w:tc>
        <w:tc>
          <w:tcPr>
            <w:tcW w:w="709"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63.3</w:t>
            </w:r>
          </w:p>
        </w:tc>
        <w:tc>
          <w:tcPr>
            <w:tcW w:w="992"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1</w:t>
            </w:r>
          </w:p>
        </w:tc>
        <w:tc>
          <w:tcPr>
            <w:tcW w:w="637"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3.3</w:t>
            </w:r>
          </w:p>
        </w:tc>
        <w:tc>
          <w:tcPr>
            <w:tcW w:w="781"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10</w:t>
            </w:r>
          </w:p>
        </w:tc>
        <w:tc>
          <w:tcPr>
            <w:tcW w:w="709" w:type="dxa"/>
            <w:vAlign w:val="center"/>
          </w:tcPr>
          <w:p w:rsidR="00843B5E" w:rsidRDefault="00843B5E" w:rsidP="00BF53B2">
            <w:pPr>
              <w:pStyle w:val="NormalWeb"/>
              <w:spacing w:before="0" w:beforeAutospacing="0" w:after="0" w:afterAutospacing="0"/>
              <w:ind w:left="68"/>
              <w:jc w:val="both"/>
              <w:rPr>
                <w:rStyle w:val="corchete-llamada"/>
                <w:bCs/>
              </w:rPr>
            </w:pPr>
            <w:r>
              <w:rPr>
                <w:rStyle w:val="corchete-llamada"/>
                <w:bCs/>
              </w:rPr>
              <w:t>33.3</w:t>
            </w:r>
          </w:p>
        </w:tc>
        <w:tc>
          <w:tcPr>
            <w:tcW w:w="920" w:type="dxa"/>
            <w:vAlign w:val="center"/>
          </w:tcPr>
          <w:p w:rsidR="00843B5E" w:rsidRDefault="00843B5E" w:rsidP="00BF53B2">
            <w:pPr>
              <w:spacing w:after="0" w:line="240" w:lineRule="auto"/>
              <w:jc w:val="both"/>
              <w:rPr>
                <w:rStyle w:val="corchete-llamada"/>
                <w:rFonts w:cs="Times New Roman"/>
                <w:bCs/>
                <w:sz w:val="24"/>
                <w:szCs w:val="24"/>
              </w:rPr>
            </w:pPr>
            <w:r>
              <w:rPr>
                <w:rStyle w:val="corchete-llamada"/>
                <w:rFonts w:cs="Times New Roman"/>
                <w:bCs/>
                <w:sz w:val="24"/>
                <w:szCs w:val="24"/>
              </w:rPr>
              <w:t>30</w:t>
            </w:r>
          </w:p>
        </w:tc>
        <w:tc>
          <w:tcPr>
            <w:tcW w:w="920" w:type="dxa"/>
          </w:tcPr>
          <w:p w:rsidR="00843B5E" w:rsidRDefault="00843B5E" w:rsidP="00BF53B2">
            <w:pPr>
              <w:spacing w:after="0" w:line="240" w:lineRule="auto"/>
              <w:jc w:val="both"/>
              <w:rPr>
                <w:rStyle w:val="corchete-llamada"/>
                <w:rFonts w:cs="Times New Roman"/>
                <w:bCs/>
                <w:sz w:val="24"/>
                <w:szCs w:val="24"/>
              </w:rPr>
            </w:pPr>
            <w:r>
              <w:rPr>
                <w:rStyle w:val="corchete-llamada"/>
                <w:rFonts w:cs="Times New Roman"/>
                <w:bCs/>
                <w:sz w:val="24"/>
                <w:szCs w:val="24"/>
              </w:rPr>
              <w:t>100</w:t>
            </w:r>
          </w:p>
        </w:tc>
      </w:tr>
    </w:tbl>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Fuente: Entrevista médica</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La tabla 4 muestra la distribución de los pacientes según la afección para la cual utilizaron el Vimang y la presentación farmacéutica preferida. Existió un predominio de aquellas personas que utilizaron el Vimang en la presentación de Jarabe siendo 19 de un total de 30 para un 63.3%. En cuanto a la afección para lo que fue utilizado existió un predominio de su uso en el catarro con 10 pacientes que representaron el 33.3% del total.</w:t>
      </w:r>
    </w:p>
    <w:tbl>
      <w:tblPr>
        <w:tblpPr w:leftFromText="141" w:rightFromText="141" w:vertAnchor="text" w:horzAnchor="margin" w:tblpY="7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597"/>
        <w:gridCol w:w="709"/>
        <w:gridCol w:w="567"/>
        <w:gridCol w:w="708"/>
        <w:gridCol w:w="851"/>
        <w:gridCol w:w="851"/>
      </w:tblGrid>
      <w:tr w:rsidR="00BF53B2" w:rsidTr="00BF53B2">
        <w:trPr>
          <w:gridAfter w:val="2"/>
          <w:wAfter w:w="1702" w:type="dxa"/>
        </w:trPr>
        <w:tc>
          <w:tcPr>
            <w:tcW w:w="1496" w:type="dxa"/>
            <w:vMerge w:val="restart"/>
            <w:vAlign w:val="center"/>
          </w:tcPr>
          <w:p w:rsidR="00BF53B2" w:rsidRDefault="00BF53B2" w:rsidP="00BF53B2">
            <w:pPr>
              <w:spacing w:after="0" w:line="240" w:lineRule="auto"/>
              <w:rPr>
                <w:rFonts w:eastAsia="Calibri" w:cs="Times New Roman"/>
                <w:sz w:val="24"/>
                <w:szCs w:val="24"/>
              </w:rPr>
            </w:pPr>
            <w:r>
              <w:rPr>
                <w:rFonts w:eastAsia="Calibri" w:cs="Times New Roman"/>
                <w:sz w:val="24"/>
                <w:szCs w:val="24"/>
              </w:rPr>
              <w:t>Utilización</w:t>
            </w:r>
          </w:p>
        </w:tc>
        <w:tc>
          <w:tcPr>
            <w:tcW w:w="2581" w:type="dxa"/>
            <w:gridSpan w:val="4"/>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Resultados</w:t>
            </w:r>
          </w:p>
        </w:tc>
      </w:tr>
      <w:tr w:rsidR="00BF53B2" w:rsidTr="00BF53B2">
        <w:trPr>
          <w:gridAfter w:val="2"/>
          <w:wAfter w:w="1702" w:type="dxa"/>
        </w:trPr>
        <w:tc>
          <w:tcPr>
            <w:tcW w:w="1496" w:type="dxa"/>
            <w:vMerge/>
          </w:tcPr>
          <w:p w:rsidR="00BF53B2" w:rsidRDefault="00BF53B2" w:rsidP="00BF53B2">
            <w:pPr>
              <w:spacing w:after="0" w:line="240" w:lineRule="auto"/>
              <w:jc w:val="both"/>
              <w:rPr>
                <w:rFonts w:eastAsia="Calibri" w:cs="Times New Roman"/>
                <w:sz w:val="24"/>
                <w:szCs w:val="24"/>
              </w:rPr>
            </w:pPr>
          </w:p>
        </w:tc>
        <w:tc>
          <w:tcPr>
            <w:tcW w:w="1306" w:type="dxa"/>
            <w:gridSpan w:val="2"/>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Positivos</w:t>
            </w:r>
          </w:p>
        </w:tc>
        <w:tc>
          <w:tcPr>
            <w:tcW w:w="1275" w:type="dxa"/>
            <w:gridSpan w:val="2"/>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Negativos</w:t>
            </w:r>
          </w:p>
        </w:tc>
      </w:tr>
      <w:tr w:rsidR="00BF53B2" w:rsidTr="00BF53B2">
        <w:tc>
          <w:tcPr>
            <w:tcW w:w="1496" w:type="dxa"/>
            <w:vMerge/>
          </w:tcPr>
          <w:p w:rsidR="00BF53B2" w:rsidRDefault="00BF53B2" w:rsidP="00BF53B2">
            <w:pPr>
              <w:spacing w:after="0" w:line="240" w:lineRule="auto"/>
              <w:jc w:val="both"/>
              <w:rPr>
                <w:rFonts w:eastAsia="Calibri" w:cs="Times New Roman"/>
                <w:sz w:val="24"/>
                <w:szCs w:val="24"/>
              </w:rPr>
            </w:pPr>
          </w:p>
        </w:tc>
        <w:tc>
          <w:tcPr>
            <w:tcW w:w="597" w:type="dxa"/>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FA</w:t>
            </w:r>
          </w:p>
        </w:tc>
        <w:tc>
          <w:tcPr>
            <w:tcW w:w="709" w:type="dxa"/>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w:t>
            </w:r>
          </w:p>
        </w:tc>
        <w:tc>
          <w:tcPr>
            <w:tcW w:w="567" w:type="dxa"/>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FA</w:t>
            </w:r>
          </w:p>
        </w:tc>
        <w:tc>
          <w:tcPr>
            <w:tcW w:w="708" w:type="dxa"/>
            <w:vAlign w:val="center"/>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w:t>
            </w:r>
          </w:p>
        </w:tc>
        <w:tc>
          <w:tcPr>
            <w:tcW w:w="851" w:type="dxa"/>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Total</w:t>
            </w:r>
          </w:p>
        </w:tc>
        <w:tc>
          <w:tcPr>
            <w:tcW w:w="851" w:type="dxa"/>
          </w:tcPr>
          <w:p w:rsidR="00BF53B2" w:rsidRDefault="00BF53B2" w:rsidP="00BF53B2">
            <w:pPr>
              <w:spacing w:after="0" w:line="240" w:lineRule="auto"/>
              <w:jc w:val="center"/>
              <w:rPr>
                <w:rFonts w:eastAsia="Calibri" w:cs="Times New Roman"/>
                <w:sz w:val="24"/>
                <w:szCs w:val="24"/>
              </w:rPr>
            </w:pPr>
            <w:r>
              <w:rPr>
                <w:rFonts w:eastAsia="Calibri" w:cs="Times New Roman"/>
                <w:sz w:val="24"/>
                <w:szCs w:val="24"/>
              </w:rPr>
              <w:t>%</w:t>
            </w:r>
          </w:p>
        </w:tc>
      </w:tr>
      <w:tr w:rsidR="00BF53B2" w:rsidTr="00BF53B2">
        <w:tc>
          <w:tcPr>
            <w:tcW w:w="1496"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Como tratamiento único</w:t>
            </w:r>
          </w:p>
        </w:tc>
        <w:tc>
          <w:tcPr>
            <w:tcW w:w="597"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20</w:t>
            </w:r>
          </w:p>
        </w:tc>
        <w:tc>
          <w:tcPr>
            <w:tcW w:w="709"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66.6</w:t>
            </w:r>
          </w:p>
        </w:tc>
        <w:tc>
          <w:tcPr>
            <w:tcW w:w="567"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w:t>
            </w:r>
          </w:p>
        </w:tc>
        <w:tc>
          <w:tcPr>
            <w:tcW w:w="708"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6.6</w:t>
            </w:r>
          </w:p>
        </w:tc>
        <w:tc>
          <w:tcPr>
            <w:tcW w:w="851"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22</w:t>
            </w:r>
          </w:p>
        </w:tc>
        <w:tc>
          <w:tcPr>
            <w:tcW w:w="851"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73.3</w:t>
            </w:r>
          </w:p>
        </w:tc>
      </w:tr>
      <w:tr w:rsidR="00BF53B2" w:rsidTr="00BF53B2">
        <w:tc>
          <w:tcPr>
            <w:tcW w:w="1496"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Como tratamiento coadyuvante</w:t>
            </w:r>
          </w:p>
        </w:tc>
        <w:tc>
          <w:tcPr>
            <w:tcW w:w="597"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8</w:t>
            </w:r>
          </w:p>
        </w:tc>
        <w:tc>
          <w:tcPr>
            <w:tcW w:w="709"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26.6</w:t>
            </w:r>
          </w:p>
        </w:tc>
        <w:tc>
          <w:tcPr>
            <w:tcW w:w="567"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0</w:t>
            </w:r>
          </w:p>
        </w:tc>
        <w:tc>
          <w:tcPr>
            <w:tcW w:w="708"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0</w:t>
            </w:r>
          </w:p>
        </w:tc>
        <w:tc>
          <w:tcPr>
            <w:tcW w:w="851"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8</w:t>
            </w:r>
          </w:p>
        </w:tc>
        <w:tc>
          <w:tcPr>
            <w:tcW w:w="851"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26.6</w:t>
            </w:r>
          </w:p>
        </w:tc>
      </w:tr>
      <w:tr w:rsidR="00BF53B2" w:rsidTr="00BF53B2">
        <w:tc>
          <w:tcPr>
            <w:tcW w:w="1496"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Total</w:t>
            </w:r>
          </w:p>
        </w:tc>
        <w:tc>
          <w:tcPr>
            <w:tcW w:w="597"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28</w:t>
            </w:r>
          </w:p>
        </w:tc>
        <w:tc>
          <w:tcPr>
            <w:tcW w:w="709"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93.3</w:t>
            </w:r>
          </w:p>
        </w:tc>
        <w:tc>
          <w:tcPr>
            <w:tcW w:w="567"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2</w:t>
            </w:r>
          </w:p>
        </w:tc>
        <w:tc>
          <w:tcPr>
            <w:tcW w:w="708"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6.6</w:t>
            </w:r>
          </w:p>
        </w:tc>
        <w:tc>
          <w:tcPr>
            <w:tcW w:w="851"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30</w:t>
            </w:r>
          </w:p>
        </w:tc>
        <w:tc>
          <w:tcPr>
            <w:tcW w:w="851" w:type="dxa"/>
          </w:tcPr>
          <w:p w:rsidR="00BF53B2" w:rsidRDefault="00BF53B2" w:rsidP="00BF53B2">
            <w:pPr>
              <w:spacing w:after="0" w:line="240" w:lineRule="auto"/>
              <w:jc w:val="both"/>
              <w:rPr>
                <w:rFonts w:eastAsia="Calibri" w:cs="Times New Roman"/>
                <w:sz w:val="24"/>
                <w:szCs w:val="24"/>
              </w:rPr>
            </w:pPr>
            <w:r>
              <w:rPr>
                <w:rFonts w:eastAsia="Calibri" w:cs="Times New Roman"/>
                <w:sz w:val="24"/>
                <w:szCs w:val="24"/>
              </w:rPr>
              <w:t>100</w:t>
            </w:r>
          </w:p>
        </w:tc>
      </w:tr>
    </w:tbl>
    <w:p w:rsidR="00781215" w:rsidRDefault="00781215" w:rsidP="00781215">
      <w:pPr>
        <w:spacing w:line="360" w:lineRule="auto"/>
        <w:jc w:val="both"/>
        <w:rPr>
          <w:rFonts w:ascii="Arial" w:hAnsi="Arial" w:cs="Arial"/>
          <w:sz w:val="24"/>
          <w:szCs w:val="24"/>
        </w:rPr>
      </w:pPr>
      <w:r w:rsidRPr="00781215">
        <w:rPr>
          <w:rFonts w:ascii="Arial" w:hAnsi="Arial" w:cs="Arial"/>
          <w:sz w:val="24"/>
          <w:szCs w:val="24"/>
        </w:rPr>
        <w:t>Tabla 5. Distribución de los pacientes que usan el Vimang según su utilización y resultados obtenidos.</w:t>
      </w:r>
    </w:p>
    <w:p w:rsidR="009B73B5" w:rsidRPr="00781215" w:rsidRDefault="009B73B5" w:rsidP="00781215">
      <w:pPr>
        <w:spacing w:line="360" w:lineRule="auto"/>
        <w:jc w:val="both"/>
        <w:rPr>
          <w:rFonts w:ascii="Arial" w:hAnsi="Arial" w:cs="Arial"/>
          <w:sz w:val="24"/>
          <w:szCs w:val="24"/>
        </w:rPr>
      </w:pPr>
    </w:p>
    <w:p w:rsidR="00843B5E" w:rsidRDefault="00843B5E" w:rsidP="00781215">
      <w:pPr>
        <w:spacing w:line="360" w:lineRule="auto"/>
        <w:jc w:val="both"/>
        <w:rPr>
          <w:rFonts w:ascii="Arial" w:hAnsi="Arial" w:cs="Arial"/>
          <w:sz w:val="24"/>
          <w:szCs w:val="24"/>
        </w:rPr>
      </w:pPr>
    </w:p>
    <w:p w:rsidR="00843B5E" w:rsidRDefault="00843B5E" w:rsidP="00781215">
      <w:pPr>
        <w:spacing w:line="360" w:lineRule="auto"/>
        <w:jc w:val="both"/>
        <w:rPr>
          <w:rFonts w:ascii="Arial" w:hAnsi="Arial" w:cs="Arial"/>
          <w:sz w:val="24"/>
          <w:szCs w:val="24"/>
        </w:rPr>
      </w:pPr>
    </w:p>
    <w:p w:rsidR="00843B5E" w:rsidRDefault="00843B5E" w:rsidP="00781215">
      <w:pPr>
        <w:spacing w:line="360" w:lineRule="auto"/>
        <w:jc w:val="both"/>
        <w:rPr>
          <w:rFonts w:ascii="Arial" w:hAnsi="Arial" w:cs="Arial"/>
          <w:sz w:val="24"/>
          <w:szCs w:val="24"/>
        </w:rPr>
      </w:pPr>
    </w:p>
    <w:p w:rsidR="00843B5E" w:rsidRDefault="00843B5E" w:rsidP="00781215">
      <w:pPr>
        <w:spacing w:line="360" w:lineRule="auto"/>
        <w:jc w:val="both"/>
        <w:rPr>
          <w:rFonts w:ascii="Arial" w:hAnsi="Arial" w:cs="Arial"/>
          <w:sz w:val="24"/>
          <w:szCs w:val="24"/>
        </w:rPr>
      </w:pP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Fuente: Entrevista médica</w:t>
      </w:r>
    </w:p>
    <w:p w:rsidR="009B73B5" w:rsidRDefault="00781215" w:rsidP="009B73B5">
      <w:pPr>
        <w:spacing w:line="276" w:lineRule="auto"/>
        <w:jc w:val="both"/>
        <w:rPr>
          <w:rFonts w:ascii="Arial" w:hAnsi="Arial" w:cs="Arial"/>
          <w:sz w:val="24"/>
          <w:szCs w:val="24"/>
        </w:rPr>
      </w:pPr>
      <w:r w:rsidRPr="00781215">
        <w:rPr>
          <w:rFonts w:ascii="Arial" w:hAnsi="Arial" w:cs="Arial"/>
          <w:sz w:val="24"/>
          <w:szCs w:val="24"/>
        </w:rPr>
        <w:t>La tabla 5 muestra la distribución de los pacientes que usan el Vimang según su utilización y resultados obtenidos. Predominó el uso del Vimang como tratamiento único y con resultados positivos con un 7</w:t>
      </w:r>
      <w:r w:rsidR="009B73B5">
        <w:rPr>
          <w:rFonts w:ascii="Arial" w:hAnsi="Arial" w:cs="Arial"/>
          <w:sz w:val="24"/>
          <w:szCs w:val="24"/>
        </w:rPr>
        <w:t>3.3 y un 93.3% respectivamente.</w:t>
      </w:r>
    </w:p>
    <w:p w:rsidR="00781215" w:rsidRPr="00843B5E" w:rsidRDefault="00781215" w:rsidP="009B73B5">
      <w:pPr>
        <w:spacing w:line="276" w:lineRule="auto"/>
        <w:jc w:val="both"/>
        <w:rPr>
          <w:rFonts w:ascii="Arial" w:hAnsi="Arial" w:cs="Arial"/>
          <w:b/>
          <w:sz w:val="24"/>
          <w:szCs w:val="24"/>
        </w:rPr>
      </w:pPr>
      <w:r w:rsidRPr="00843B5E">
        <w:rPr>
          <w:rFonts w:ascii="Arial" w:hAnsi="Arial" w:cs="Arial"/>
          <w:b/>
          <w:sz w:val="24"/>
          <w:szCs w:val="24"/>
        </w:rPr>
        <w:lastRenderedPageBreak/>
        <w:t>DISCUSIÓN</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Los resultados obtenidos en nuestra investigación hablan a favor de un predominio de los conocimientos acerca del Vimang en el sexo femenino lo cual creemos se corresponde con la mayor aprehensión por parte de las pacientes ante el uso sistemático de este producto, no así en el caso de los hombres que por lo general mantienen sus reservas acerca del tratamiento alternativo con fitofármacos y no son tan constantes al aplicar el mismo.  Lo anterior no coincide con la bibliografía consultada debido a que las diversas investigaciones realizadas van más dirigidas a adquirir conocimiento acerca de los efectos del Vimang que a caracterizar cómo se comporta su </w:t>
      </w:r>
      <w:r w:rsidR="009B73B5">
        <w:rPr>
          <w:rFonts w:ascii="Arial" w:hAnsi="Arial" w:cs="Arial"/>
          <w:sz w:val="24"/>
          <w:szCs w:val="24"/>
        </w:rPr>
        <w:t xml:space="preserve">consumo en la población. </w:t>
      </w:r>
      <w:r w:rsidR="009B73B5" w:rsidRPr="009B73B5">
        <w:rPr>
          <w:rFonts w:ascii="Arial" w:hAnsi="Arial" w:cs="Arial"/>
          <w:sz w:val="24"/>
          <w:szCs w:val="24"/>
          <w:vertAlign w:val="superscript"/>
        </w:rPr>
        <w:t>15,16</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A los autores les llamó la atención que medios de difusión como la radio y televisión que son de fácil acceso para la población y mediante los cuales se difunde información a mayor escala, no constituyeron la vía predominante mediante la cual la población adquirió información sobre el Vimang, al igual que la información brindada por el consultorio médico, a pesar de que la fitoterapia en los momentos actuales es una poderosa herramienta en manos del médico de la familia que busca rescatar el método clínico y la medicina alternativa.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Por lo que en este caso coincidimos con los autores Pardo-Andreu et al ., que plantean que la administración de productos antioxidantes a los pacientes se considera como suplementaria o de segunda importancia en la metodología terapéutica y que uno de los factores que puede contribuir a ello es el ambiente regulador actual, donde los antioxidantes no se consideran medicamentos, sino suplementos nutricionales o productos naturales para la salud, ya que el estrés oxidativo no se consider</w:t>
      </w:r>
      <w:r w:rsidR="009B73B5">
        <w:rPr>
          <w:rFonts w:ascii="Arial" w:hAnsi="Arial" w:cs="Arial"/>
          <w:sz w:val="24"/>
          <w:szCs w:val="24"/>
        </w:rPr>
        <w:t>a una categoría terapéutica.</w:t>
      </w:r>
      <w:r w:rsidR="009B73B5" w:rsidRPr="009B73B5">
        <w:rPr>
          <w:rFonts w:ascii="Arial" w:hAnsi="Arial" w:cs="Arial"/>
          <w:sz w:val="24"/>
          <w:szCs w:val="24"/>
          <w:vertAlign w:val="superscript"/>
        </w:rPr>
        <w:t>14</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Se comprobó el desconocimiento de la población en cuanto a los beneficios del Vimang, ya que ninguno de los pacientes lo utilizó para tratar sus afecciones de base, sin </w:t>
      </w:r>
      <w:r w:rsidR="00843B5E" w:rsidRPr="00781215">
        <w:rPr>
          <w:rFonts w:ascii="Arial" w:hAnsi="Arial" w:cs="Arial"/>
          <w:sz w:val="24"/>
          <w:szCs w:val="24"/>
        </w:rPr>
        <w:t>embargo,</w:t>
      </w:r>
      <w:r w:rsidRPr="00781215">
        <w:rPr>
          <w:rFonts w:ascii="Arial" w:hAnsi="Arial" w:cs="Arial"/>
          <w:sz w:val="24"/>
          <w:szCs w:val="24"/>
        </w:rPr>
        <w:t xml:space="preserve"> investigaciones realizadas en la atención primaria de salud han demostrado la mejoría de la calidad de vida de los pacientes, que presentan estas enfermedades crónicas, al tratarse con este medicamento lo que se corresponde con lo planteado</w:t>
      </w:r>
      <w:r w:rsidR="009B73B5">
        <w:rPr>
          <w:rFonts w:ascii="Arial" w:hAnsi="Arial" w:cs="Arial"/>
          <w:sz w:val="24"/>
          <w:szCs w:val="24"/>
        </w:rPr>
        <w:t xml:space="preserve"> por Núñez Sellés AJ et al. </w:t>
      </w:r>
      <w:r w:rsidR="009B73B5" w:rsidRPr="009B73B5">
        <w:rPr>
          <w:rFonts w:ascii="Arial" w:hAnsi="Arial" w:cs="Arial"/>
          <w:sz w:val="24"/>
          <w:szCs w:val="24"/>
          <w:vertAlign w:val="superscript"/>
        </w:rPr>
        <w:t>15</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El predominio de la presentación en jarabe del Vimang está dado por un problema de disponibilidad ya que existe una mayor demanda del fitofármaco y escasos recursos para suplirla, principalmente en sus otras presentaciones, destacándose como la más solicit</w:t>
      </w:r>
      <w:r w:rsidR="009B73B5">
        <w:rPr>
          <w:rFonts w:ascii="Arial" w:hAnsi="Arial" w:cs="Arial"/>
          <w:sz w:val="24"/>
          <w:szCs w:val="24"/>
        </w:rPr>
        <w:t>ada las tabletas.</w:t>
      </w:r>
      <w:r w:rsidR="009B73B5" w:rsidRPr="009B73B5">
        <w:rPr>
          <w:rFonts w:ascii="Arial" w:hAnsi="Arial" w:cs="Arial"/>
          <w:sz w:val="24"/>
          <w:szCs w:val="24"/>
          <w:vertAlign w:val="superscript"/>
        </w:rPr>
        <w:t>17</w:t>
      </w:r>
      <w:r w:rsidRPr="00781215">
        <w:rPr>
          <w:rFonts w:ascii="Arial" w:hAnsi="Arial" w:cs="Arial"/>
          <w:sz w:val="24"/>
          <w:szCs w:val="24"/>
        </w:rPr>
        <w:t>Por lo que coincidimos con lo planteado por la bibliografía consultada por Núñez Sellés AJ et al. que expone una serie de ventajas que brindan las tabletas que las hace ser preferidas por todos como garantizar una dosis más exacta del medicamento, se puede consumir sin necesidad de la presencia de personal médico y de forma ambulatoria entre otras venta</w:t>
      </w:r>
      <w:r w:rsidR="009B73B5">
        <w:rPr>
          <w:rFonts w:ascii="Arial" w:hAnsi="Arial" w:cs="Arial"/>
          <w:sz w:val="24"/>
          <w:szCs w:val="24"/>
        </w:rPr>
        <w:t>jas que estas nos garantizan.</w:t>
      </w:r>
      <w:r w:rsidR="009B73B5" w:rsidRPr="009B73B5">
        <w:rPr>
          <w:rFonts w:ascii="Arial" w:hAnsi="Arial" w:cs="Arial"/>
          <w:sz w:val="24"/>
          <w:szCs w:val="24"/>
          <w:vertAlign w:val="superscript"/>
        </w:rPr>
        <w:t>9</w:t>
      </w:r>
    </w:p>
    <w:p w:rsidR="00781215" w:rsidRDefault="00781215" w:rsidP="009B73B5">
      <w:pPr>
        <w:spacing w:line="276" w:lineRule="auto"/>
        <w:jc w:val="both"/>
        <w:rPr>
          <w:rFonts w:ascii="Arial" w:hAnsi="Arial" w:cs="Arial"/>
          <w:sz w:val="24"/>
          <w:szCs w:val="24"/>
        </w:rPr>
      </w:pPr>
      <w:r w:rsidRPr="00781215">
        <w:rPr>
          <w:rFonts w:ascii="Arial" w:hAnsi="Arial" w:cs="Arial"/>
          <w:sz w:val="24"/>
          <w:szCs w:val="24"/>
        </w:rPr>
        <w:lastRenderedPageBreak/>
        <w:t xml:space="preserve">Se evidenció los efectos positivos del Vimang tanto en los pacientes que lo utilizaron como tratamiento único como los que lo utilizaron como coadyuvante, teniendo en cuenta que en los casos en que no se obtuvieron los resultados deseados fue por un uso inadecuado en cuanto a duración y dosis del fitofármaco. Por lo que podemos coincidir con Martínez Sánchez G et al. que en su estudio también obtuvo resultados </w:t>
      </w:r>
      <w:r w:rsidR="009B73B5">
        <w:rPr>
          <w:rFonts w:ascii="Arial" w:hAnsi="Arial" w:cs="Arial"/>
          <w:sz w:val="24"/>
          <w:szCs w:val="24"/>
        </w:rPr>
        <w:t>positivos al usar el Vimang.</w:t>
      </w:r>
      <w:r w:rsidR="009B73B5" w:rsidRPr="009B73B5">
        <w:rPr>
          <w:rFonts w:ascii="Arial" w:hAnsi="Arial" w:cs="Arial"/>
          <w:sz w:val="24"/>
          <w:szCs w:val="24"/>
          <w:vertAlign w:val="superscript"/>
        </w:rPr>
        <w:t>18</w:t>
      </w:r>
    </w:p>
    <w:p w:rsidR="009B73B5" w:rsidRPr="00781215" w:rsidRDefault="009B73B5" w:rsidP="009B73B5">
      <w:pPr>
        <w:spacing w:line="276" w:lineRule="auto"/>
        <w:jc w:val="both"/>
        <w:rPr>
          <w:rFonts w:ascii="Arial" w:hAnsi="Arial" w:cs="Arial"/>
          <w:sz w:val="24"/>
          <w:szCs w:val="24"/>
        </w:rPr>
      </w:pPr>
    </w:p>
    <w:p w:rsidR="00781215" w:rsidRPr="00843B5E" w:rsidRDefault="00781215" w:rsidP="009B73B5">
      <w:pPr>
        <w:spacing w:line="276" w:lineRule="auto"/>
        <w:jc w:val="both"/>
        <w:rPr>
          <w:rFonts w:ascii="Arial" w:hAnsi="Arial" w:cs="Arial"/>
          <w:b/>
          <w:sz w:val="24"/>
          <w:szCs w:val="24"/>
        </w:rPr>
      </w:pPr>
      <w:r w:rsidRPr="00843B5E">
        <w:rPr>
          <w:rFonts w:ascii="Arial" w:hAnsi="Arial" w:cs="Arial"/>
          <w:b/>
          <w:sz w:val="24"/>
          <w:szCs w:val="24"/>
        </w:rPr>
        <w:t>CONCLUSIONES</w:t>
      </w:r>
    </w:p>
    <w:p w:rsidR="00781215" w:rsidRPr="00781215" w:rsidRDefault="00843B5E" w:rsidP="009B73B5">
      <w:pPr>
        <w:spacing w:line="276" w:lineRule="auto"/>
        <w:jc w:val="both"/>
        <w:rPr>
          <w:rFonts w:ascii="Arial" w:hAnsi="Arial" w:cs="Arial"/>
          <w:sz w:val="24"/>
          <w:szCs w:val="24"/>
        </w:rPr>
      </w:pPr>
      <w:r>
        <w:rPr>
          <w:rFonts w:ascii="Arial" w:hAnsi="Arial" w:cs="Arial"/>
          <w:sz w:val="24"/>
          <w:szCs w:val="24"/>
        </w:rPr>
        <w:t xml:space="preserve">El </w:t>
      </w:r>
      <w:r w:rsidR="00781215" w:rsidRPr="00781215">
        <w:rPr>
          <w:rFonts w:ascii="Arial" w:hAnsi="Arial" w:cs="Arial"/>
          <w:sz w:val="24"/>
          <w:szCs w:val="24"/>
        </w:rPr>
        <w:t xml:space="preserve">Vimang fue el comentario popular; </w:t>
      </w:r>
      <w:r>
        <w:rPr>
          <w:rFonts w:ascii="Arial" w:hAnsi="Arial" w:cs="Arial"/>
          <w:sz w:val="24"/>
          <w:szCs w:val="24"/>
        </w:rPr>
        <w:t xml:space="preserve">fue mayormente utilizado por </w:t>
      </w:r>
      <w:r w:rsidRPr="00781215">
        <w:rPr>
          <w:rFonts w:ascii="Arial" w:hAnsi="Arial" w:cs="Arial"/>
          <w:sz w:val="24"/>
          <w:szCs w:val="24"/>
        </w:rPr>
        <w:t>pacientes</w:t>
      </w:r>
      <w:r>
        <w:rPr>
          <w:rFonts w:ascii="Arial" w:hAnsi="Arial" w:cs="Arial"/>
          <w:sz w:val="24"/>
          <w:szCs w:val="24"/>
        </w:rPr>
        <w:t xml:space="preserve"> entre</w:t>
      </w:r>
      <w:r w:rsidR="00781215" w:rsidRPr="00781215">
        <w:rPr>
          <w:rFonts w:ascii="Arial" w:hAnsi="Arial" w:cs="Arial"/>
          <w:sz w:val="24"/>
          <w:szCs w:val="24"/>
        </w:rPr>
        <w:t xml:space="preserve"> 31 a 45 y 61 a 75 años</w:t>
      </w:r>
      <w:r>
        <w:rPr>
          <w:rFonts w:ascii="Arial" w:hAnsi="Arial" w:cs="Arial"/>
          <w:sz w:val="24"/>
          <w:szCs w:val="24"/>
        </w:rPr>
        <w:t xml:space="preserve"> de edad, </w:t>
      </w:r>
      <w:r w:rsidRPr="00781215">
        <w:rPr>
          <w:rFonts w:ascii="Arial" w:hAnsi="Arial" w:cs="Arial"/>
          <w:sz w:val="24"/>
          <w:szCs w:val="24"/>
        </w:rPr>
        <w:t>del</w:t>
      </w:r>
      <w:r w:rsidR="00781215" w:rsidRPr="00781215">
        <w:rPr>
          <w:rFonts w:ascii="Arial" w:hAnsi="Arial" w:cs="Arial"/>
          <w:sz w:val="24"/>
          <w:szCs w:val="24"/>
        </w:rPr>
        <w:t xml:space="preserve"> s</w:t>
      </w:r>
      <w:r>
        <w:rPr>
          <w:rFonts w:ascii="Arial" w:hAnsi="Arial" w:cs="Arial"/>
          <w:sz w:val="24"/>
          <w:szCs w:val="24"/>
        </w:rPr>
        <w:t xml:space="preserve">exo femenino, con </w:t>
      </w:r>
      <w:r w:rsidR="00781215" w:rsidRPr="00781215">
        <w:rPr>
          <w:rFonts w:ascii="Arial" w:hAnsi="Arial" w:cs="Arial"/>
          <w:sz w:val="24"/>
          <w:szCs w:val="24"/>
        </w:rPr>
        <w:t>antecedentes</w:t>
      </w:r>
      <w:r>
        <w:rPr>
          <w:rFonts w:ascii="Arial" w:hAnsi="Arial" w:cs="Arial"/>
          <w:sz w:val="24"/>
          <w:szCs w:val="24"/>
        </w:rPr>
        <w:t xml:space="preserve"> de Hipertensión arterial, y</w:t>
      </w:r>
      <w:r w:rsidRPr="00781215">
        <w:rPr>
          <w:rFonts w:ascii="Arial" w:hAnsi="Arial" w:cs="Arial"/>
          <w:sz w:val="24"/>
          <w:szCs w:val="24"/>
        </w:rPr>
        <w:t xml:space="preserve"> nivel</w:t>
      </w:r>
      <w:r w:rsidR="00781215" w:rsidRPr="00781215">
        <w:rPr>
          <w:rFonts w:ascii="Arial" w:hAnsi="Arial" w:cs="Arial"/>
          <w:sz w:val="24"/>
          <w:szCs w:val="24"/>
        </w:rPr>
        <w:t xml:space="preserve"> educacional de preuniversitario terminado.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 xml:space="preserve">El Vimang se utilizó principalmente como tratamiento único y tuvo efectos positivos siendo el jarabe la presentación más usada, y el catarro la afección en la que predominó el uso del fitofármaco. </w:t>
      </w:r>
    </w:p>
    <w:p w:rsidR="00781215" w:rsidRPr="00781215" w:rsidRDefault="00843B5E" w:rsidP="009B73B5">
      <w:pPr>
        <w:spacing w:line="276" w:lineRule="auto"/>
        <w:jc w:val="both"/>
        <w:rPr>
          <w:rFonts w:ascii="Arial" w:hAnsi="Arial" w:cs="Arial"/>
          <w:sz w:val="24"/>
          <w:szCs w:val="24"/>
        </w:rPr>
      </w:pPr>
      <w:r>
        <w:rPr>
          <w:rFonts w:ascii="Arial" w:hAnsi="Arial" w:cs="Arial"/>
          <w:sz w:val="24"/>
          <w:szCs w:val="24"/>
        </w:rPr>
        <w:t>El conocimiento</w:t>
      </w:r>
      <w:r w:rsidR="00781215" w:rsidRPr="00781215">
        <w:rPr>
          <w:rFonts w:ascii="Arial" w:hAnsi="Arial" w:cs="Arial"/>
          <w:sz w:val="24"/>
          <w:szCs w:val="24"/>
        </w:rPr>
        <w:t xml:space="preserve"> del Vimang</w:t>
      </w:r>
      <w:r>
        <w:rPr>
          <w:rFonts w:ascii="Arial" w:hAnsi="Arial" w:cs="Arial"/>
          <w:sz w:val="24"/>
          <w:szCs w:val="24"/>
        </w:rPr>
        <w:t xml:space="preserve"> e insuficiente</w:t>
      </w:r>
      <w:r w:rsidR="00781215" w:rsidRPr="00781215">
        <w:rPr>
          <w:rFonts w:ascii="Arial" w:hAnsi="Arial" w:cs="Arial"/>
          <w:sz w:val="24"/>
          <w:szCs w:val="24"/>
        </w:rPr>
        <w:t xml:space="preserve"> y</w:t>
      </w:r>
      <w:r>
        <w:rPr>
          <w:rFonts w:ascii="Arial" w:hAnsi="Arial" w:cs="Arial"/>
          <w:sz w:val="24"/>
          <w:szCs w:val="24"/>
        </w:rPr>
        <w:t xml:space="preserve"> existe</w:t>
      </w:r>
      <w:r w:rsidR="00781215" w:rsidRPr="00781215">
        <w:rPr>
          <w:rFonts w:ascii="Arial" w:hAnsi="Arial" w:cs="Arial"/>
          <w:sz w:val="24"/>
          <w:szCs w:val="24"/>
        </w:rPr>
        <w:t xml:space="preserve"> poca divulgación por parte del consultorio médico de familia de las utilidades y </w:t>
      </w:r>
      <w:r>
        <w:rPr>
          <w:rFonts w:ascii="Arial" w:hAnsi="Arial" w:cs="Arial"/>
          <w:sz w:val="24"/>
          <w:szCs w:val="24"/>
        </w:rPr>
        <w:t>diversos usos de este fitofárma</w:t>
      </w:r>
      <w:r w:rsidR="00781215" w:rsidRPr="00781215">
        <w:rPr>
          <w:rFonts w:ascii="Arial" w:hAnsi="Arial" w:cs="Arial"/>
          <w:sz w:val="24"/>
          <w:szCs w:val="24"/>
        </w:rPr>
        <w:t>co.</w:t>
      </w:r>
    </w:p>
    <w:p w:rsidR="00781215" w:rsidRPr="00781215" w:rsidRDefault="00781215" w:rsidP="009B73B5">
      <w:pPr>
        <w:spacing w:line="276" w:lineRule="auto"/>
        <w:jc w:val="both"/>
        <w:rPr>
          <w:rFonts w:ascii="Arial" w:hAnsi="Arial" w:cs="Arial"/>
          <w:sz w:val="24"/>
          <w:szCs w:val="24"/>
        </w:rPr>
      </w:pP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REFERENCIAS BIBLIOGRÁFICAS</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1.</w:t>
      </w:r>
      <w:r w:rsidRPr="00781215">
        <w:rPr>
          <w:rFonts w:ascii="Arial" w:hAnsi="Arial" w:cs="Arial"/>
          <w:sz w:val="24"/>
          <w:szCs w:val="24"/>
        </w:rPr>
        <w:tab/>
        <w:t>Bayón, A. "Las virtudes de las plantas". A Mayor Ciencia 3:12-13. Editorial Ciencias Médicas, Cuba, 2018.</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2.</w:t>
      </w:r>
      <w:r w:rsidRPr="00781215">
        <w:rPr>
          <w:rFonts w:ascii="Arial" w:hAnsi="Arial" w:cs="Arial"/>
          <w:sz w:val="24"/>
          <w:szCs w:val="24"/>
        </w:rPr>
        <w:tab/>
        <w:t xml:space="preserve">Perdomo Delgado Johann. Cuna y la OMS actualizan sus estrategias de Medicina Tradicional. Rev Cubana Plant Med [Internet]. 2019 Sep [citado 2019 Dic 19] ; 19(3): 264-266. Disponible en: http://scielo.sld.cu/scielo.php?script=sci_arttext&amp;pid=S1028-47962019000300013&amp;Ing=es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3.</w:t>
      </w:r>
      <w:r w:rsidRPr="00781215">
        <w:rPr>
          <w:rFonts w:ascii="Arial" w:hAnsi="Arial" w:cs="Arial"/>
          <w:sz w:val="24"/>
          <w:szCs w:val="24"/>
        </w:rPr>
        <w:tab/>
        <w:t xml:space="preserve">Fernando Ravsber ¿Medicina natural cubana contra el SIDA? BBC Mundo.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4.</w:t>
      </w:r>
      <w:r w:rsidRPr="00781215">
        <w:rPr>
          <w:rFonts w:ascii="Arial" w:hAnsi="Arial" w:cs="Arial"/>
          <w:sz w:val="24"/>
          <w:szCs w:val="24"/>
        </w:rPr>
        <w:tab/>
        <w:t xml:space="preserve">Napralert Database; University of Illinois: Chicago, IL, EE. UU. [Internet].  [citado Dec 19, 2019]. Disponible en: http://stneasy.cas.org .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5.</w:t>
      </w:r>
      <w:r w:rsidRPr="00781215">
        <w:rPr>
          <w:rFonts w:ascii="Arial" w:hAnsi="Arial" w:cs="Arial"/>
          <w:sz w:val="24"/>
          <w:szCs w:val="24"/>
        </w:rPr>
        <w:tab/>
        <w:t xml:space="preserve">Guevara García M, González Laime S, Álvarez León A, Riaño Montalvo A. Uso etnomédico de la corteza de Mangifera indica L. en Cuba. Rev Cubana Plant Med. 2017;9:1-5.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6.</w:t>
      </w:r>
      <w:r w:rsidRPr="00781215">
        <w:rPr>
          <w:rFonts w:ascii="Arial" w:hAnsi="Arial" w:cs="Arial"/>
          <w:sz w:val="24"/>
          <w:szCs w:val="24"/>
        </w:rPr>
        <w:tab/>
        <w:t xml:space="preserve">Amaro González D, Páez Betancourt E, Núñez Sellés AJ. Evaluación preliminar del impacto de la recolección de la corteza del árbol de mango ( Mangifera indica L.) sobre el estado de las plantaciones. La Habana, Cuba: Centro de Química Farmacéutica;2014 Dic. Informe No.: CQF/28-012-04. </w:t>
      </w:r>
    </w:p>
    <w:p w:rsidR="00781215" w:rsidRPr="00781215" w:rsidRDefault="00781215" w:rsidP="009B73B5">
      <w:pPr>
        <w:spacing w:line="276" w:lineRule="auto"/>
        <w:jc w:val="both"/>
        <w:rPr>
          <w:rFonts w:ascii="Arial" w:hAnsi="Arial" w:cs="Arial"/>
          <w:sz w:val="24"/>
          <w:szCs w:val="24"/>
          <w:lang w:val="en-US"/>
        </w:rPr>
      </w:pPr>
      <w:r w:rsidRPr="00781215">
        <w:rPr>
          <w:rFonts w:ascii="Arial" w:hAnsi="Arial" w:cs="Arial"/>
          <w:sz w:val="24"/>
          <w:szCs w:val="24"/>
        </w:rPr>
        <w:lastRenderedPageBreak/>
        <w:t>7.</w:t>
      </w:r>
      <w:r w:rsidRPr="00781215">
        <w:rPr>
          <w:rFonts w:ascii="Arial" w:hAnsi="Arial" w:cs="Arial"/>
          <w:sz w:val="24"/>
          <w:szCs w:val="24"/>
        </w:rPr>
        <w:tab/>
        <w:t xml:space="preserve">Nuñez Sellés AJ, Páez Betancourt E, Amaro González D, Acosta Esquijarosa J, inventores. Composiciones farmacéuticas a partir del extracto de Mangifera indica L.(Mango). </w:t>
      </w:r>
      <w:r w:rsidRPr="00781215">
        <w:rPr>
          <w:rFonts w:ascii="Arial" w:hAnsi="Arial" w:cs="Arial"/>
          <w:sz w:val="24"/>
          <w:szCs w:val="24"/>
          <w:lang w:val="en-US"/>
        </w:rPr>
        <w:t xml:space="preserve">Patente Cubana No. 1814. 2017. </w:t>
      </w:r>
    </w:p>
    <w:p w:rsidR="00781215" w:rsidRPr="00781215" w:rsidRDefault="00781215" w:rsidP="009B73B5">
      <w:pPr>
        <w:spacing w:line="276" w:lineRule="auto"/>
        <w:jc w:val="both"/>
        <w:rPr>
          <w:rFonts w:ascii="Arial" w:hAnsi="Arial" w:cs="Arial"/>
          <w:sz w:val="24"/>
          <w:szCs w:val="24"/>
          <w:lang w:val="en-US"/>
        </w:rPr>
      </w:pPr>
      <w:r w:rsidRPr="00781215">
        <w:rPr>
          <w:rFonts w:ascii="Arial" w:hAnsi="Arial" w:cs="Arial"/>
          <w:sz w:val="24"/>
          <w:szCs w:val="24"/>
          <w:lang w:val="en-US"/>
        </w:rPr>
        <w:t>8.</w:t>
      </w:r>
      <w:r w:rsidRPr="00781215">
        <w:rPr>
          <w:rFonts w:ascii="Arial" w:hAnsi="Arial" w:cs="Arial"/>
          <w:sz w:val="24"/>
          <w:szCs w:val="24"/>
          <w:lang w:val="en-US"/>
        </w:rPr>
        <w:tab/>
        <w:t xml:space="preserve">Núñez Sellés AJ, Vélez Castro HT, Agüero Agüero J, González González J. Isolation and quantitative analysis of phenolic constituents, free sugars, and polyols from mango (Mangifera indica L.) stem bark aqueous decoction used in Cuba as nutritional supplement. J Agric Food Chem.  2017;50:762-6. </w:t>
      </w:r>
    </w:p>
    <w:p w:rsidR="00781215" w:rsidRPr="00781215" w:rsidRDefault="00781215" w:rsidP="009B73B5">
      <w:pPr>
        <w:spacing w:line="276" w:lineRule="auto"/>
        <w:jc w:val="both"/>
        <w:rPr>
          <w:rFonts w:ascii="Arial" w:hAnsi="Arial" w:cs="Arial"/>
          <w:sz w:val="24"/>
          <w:szCs w:val="24"/>
          <w:lang w:val="en-US"/>
        </w:rPr>
      </w:pPr>
      <w:r w:rsidRPr="00781215">
        <w:rPr>
          <w:rFonts w:ascii="Arial" w:hAnsi="Arial" w:cs="Arial"/>
          <w:sz w:val="24"/>
          <w:szCs w:val="24"/>
          <w:lang w:val="en-US"/>
        </w:rPr>
        <w:t>9.</w:t>
      </w:r>
      <w:r w:rsidRPr="00781215">
        <w:rPr>
          <w:rFonts w:ascii="Arial" w:hAnsi="Arial" w:cs="Arial"/>
          <w:sz w:val="24"/>
          <w:szCs w:val="24"/>
          <w:lang w:val="en-US"/>
        </w:rPr>
        <w:tab/>
        <w:t xml:space="preserve">Núñez Sellés AJ, Durruthy Rodríguez MD, Rodríguez Balseiro E, Nieto González L. Comparison of major and trace elements concentrations in sixteen varieties of Cuban mango stem bark (Mangifera indica L.). J Agric Food Chem. In press  2017.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lang w:val="en-US"/>
        </w:rPr>
        <w:t>10.</w:t>
      </w:r>
      <w:r w:rsidRPr="00781215">
        <w:rPr>
          <w:rFonts w:ascii="Arial" w:hAnsi="Arial" w:cs="Arial"/>
          <w:sz w:val="24"/>
          <w:szCs w:val="24"/>
          <w:lang w:val="en-US"/>
        </w:rPr>
        <w:tab/>
        <w:t xml:space="preserve">Núñez Sellés AJ. Antioxidants Theraphy: Myth or Reality? </w:t>
      </w:r>
      <w:r w:rsidRPr="00781215">
        <w:rPr>
          <w:rFonts w:ascii="Arial" w:hAnsi="Arial" w:cs="Arial"/>
          <w:sz w:val="24"/>
          <w:szCs w:val="24"/>
        </w:rPr>
        <w:t xml:space="preserve">J Braz Chem Soc. 2019;16:699-710.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11.</w:t>
      </w:r>
      <w:r w:rsidRPr="00781215">
        <w:rPr>
          <w:rFonts w:ascii="Arial" w:hAnsi="Arial" w:cs="Arial"/>
          <w:sz w:val="24"/>
          <w:szCs w:val="24"/>
        </w:rPr>
        <w:tab/>
        <w:t xml:space="preserve">Martínez G, Giuliani A, León OS, Pérez G, Núñez AJ. </w:t>
      </w:r>
      <w:r w:rsidRPr="00781215">
        <w:rPr>
          <w:rFonts w:ascii="Arial" w:hAnsi="Arial" w:cs="Arial"/>
          <w:sz w:val="24"/>
          <w:szCs w:val="24"/>
          <w:lang w:val="en-US"/>
        </w:rPr>
        <w:t xml:space="preserve">Effect of Mangifera indica L. extract (QF808) on protein and hepatic microsome peroxidation. </w:t>
      </w:r>
      <w:r w:rsidRPr="00781215">
        <w:rPr>
          <w:rFonts w:ascii="Arial" w:hAnsi="Arial" w:cs="Arial"/>
          <w:sz w:val="24"/>
          <w:szCs w:val="24"/>
        </w:rPr>
        <w:t>Phytother Res 2011;15:581-5.</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12.</w:t>
      </w:r>
      <w:r w:rsidRPr="00781215">
        <w:rPr>
          <w:rFonts w:ascii="Arial" w:hAnsi="Arial" w:cs="Arial"/>
          <w:sz w:val="24"/>
          <w:szCs w:val="24"/>
        </w:rPr>
        <w:tab/>
        <w:t>Guevara M, Garrido G, Rodríguez PC, Riaño A. Evolución de algunas afecciones dermatológicas de alta incidencia en la atención primaria de salud tratadas con una crema antioxidante y antiinflamatoria de origen natural obtenida a partir de la corteza de Mangifera indica L. (Vimang). Acta Farmac Bonaerense. In press 2017</w:t>
      </w:r>
    </w:p>
    <w:p w:rsidR="00781215" w:rsidRPr="00781215" w:rsidRDefault="00781215" w:rsidP="009B73B5">
      <w:pPr>
        <w:spacing w:line="276" w:lineRule="auto"/>
        <w:jc w:val="both"/>
        <w:rPr>
          <w:rFonts w:ascii="Arial" w:hAnsi="Arial" w:cs="Arial"/>
          <w:sz w:val="24"/>
          <w:szCs w:val="24"/>
          <w:lang w:val="en-US"/>
        </w:rPr>
      </w:pPr>
      <w:r w:rsidRPr="00781215">
        <w:rPr>
          <w:rFonts w:ascii="Arial" w:hAnsi="Arial" w:cs="Arial"/>
          <w:sz w:val="24"/>
          <w:szCs w:val="24"/>
        </w:rPr>
        <w:t>13.</w:t>
      </w:r>
      <w:r w:rsidRPr="00781215">
        <w:rPr>
          <w:rFonts w:ascii="Arial" w:hAnsi="Arial" w:cs="Arial"/>
          <w:sz w:val="24"/>
          <w:szCs w:val="24"/>
        </w:rPr>
        <w:tab/>
        <w:t xml:space="preserve">Guevara García M, González Laime S, Álvarez León A, Riaño Montalvo A. Uso etnomédico de la corteza de Mangifera indica L. en Cuba. </w:t>
      </w:r>
      <w:r w:rsidRPr="00781215">
        <w:rPr>
          <w:rFonts w:ascii="Arial" w:hAnsi="Arial" w:cs="Arial"/>
          <w:sz w:val="24"/>
          <w:szCs w:val="24"/>
          <w:lang w:val="en-US"/>
        </w:rPr>
        <w:t xml:space="preserve">Rev Cubana Plant Med. 2004;9:1-5.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lang w:val="en-US"/>
        </w:rPr>
        <w:t>14.</w:t>
      </w:r>
      <w:r w:rsidRPr="00781215">
        <w:rPr>
          <w:rFonts w:ascii="Arial" w:hAnsi="Arial" w:cs="Arial"/>
          <w:sz w:val="24"/>
          <w:szCs w:val="24"/>
          <w:lang w:val="en-US"/>
        </w:rPr>
        <w:tab/>
        <w:t xml:space="preserve">Tamayo D, Mari E, Guevara M, Garrido G. Vimang as natural antioxidant supplementation in patients with malignant tumors. </w:t>
      </w:r>
      <w:r w:rsidRPr="00781215">
        <w:rPr>
          <w:rFonts w:ascii="Arial" w:hAnsi="Arial" w:cs="Arial"/>
          <w:sz w:val="24"/>
          <w:szCs w:val="24"/>
        </w:rPr>
        <w:t>Minerva Médica. 2010;92:95-7</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t>15.</w:t>
      </w:r>
      <w:r w:rsidRPr="00781215">
        <w:rPr>
          <w:rFonts w:ascii="Arial" w:hAnsi="Arial" w:cs="Arial"/>
          <w:sz w:val="24"/>
          <w:szCs w:val="24"/>
        </w:rPr>
        <w:tab/>
        <w:t xml:space="preserve">Pardo-Andreu GL, Sánchez-Baldoquín C, Avila-González R, Suzuki Yamamoto ET, Revilla A, Uyemura SA, et al. </w:t>
      </w:r>
      <w:r w:rsidRPr="00781215">
        <w:rPr>
          <w:rFonts w:ascii="Arial" w:hAnsi="Arial" w:cs="Arial"/>
          <w:sz w:val="24"/>
          <w:szCs w:val="24"/>
          <w:lang w:val="en-US"/>
        </w:rPr>
        <w:t xml:space="preserve">Interaction of Vimang (Mangifera indica L. extract) with Fe(III) improves its antioxidant and cytoprotecting activity. </w:t>
      </w:r>
      <w:r w:rsidRPr="00781215">
        <w:rPr>
          <w:rFonts w:ascii="Arial" w:hAnsi="Arial" w:cs="Arial"/>
          <w:sz w:val="24"/>
          <w:szCs w:val="24"/>
        </w:rPr>
        <w:t xml:space="preserve">Pharmacol Res. 2006;54:389-95.  </w:t>
      </w:r>
    </w:p>
    <w:p w:rsidR="00781215" w:rsidRPr="00781215" w:rsidRDefault="00781215" w:rsidP="009B73B5">
      <w:pPr>
        <w:spacing w:line="276" w:lineRule="auto"/>
        <w:jc w:val="both"/>
        <w:rPr>
          <w:rFonts w:ascii="Arial" w:hAnsi="Arial" w:cs="Arial"/>
          <w:sz w:val="24"/>
          <w:szCs w:val="24"/>
          <w:lang w:val="en-US"/>
        </w:rPr>
      </w:pPr>
      <w:r w:rsidRPr="00781215">
        <w:rPr>
          <w:rFonts w:ascii="Arial" w:hAnsi="Arial" w:cs="Arial"/>
          <w:sz w:val="24"/>
          <w:szCs w:val="24"/>
        </w:rPr>
        <w:t>16.</w:t>
      </w:r>
      <w:r w:rsidRPr="00781215">
        <w:rPr>
          <w:rFonts w:ascii="Arial" w:hAnsi="Arial" w:cs="Arial"/>
          <w:sz w:val="24"/>
          <w:szCs w:val="24"/>
        </w:rPr>
        <w:tab/>
        <w:t xml:space="preserve">Núñez-Sellés A, Delgado-Hernández R, Garrido-Garrido G. The paradox of natural products as pharmaceuticals. Experimental evidences of a mango stem bark extract. </w:t>
      </w:r>
      <w:r w:rsidRPr="00781215">
        <w:rPr>
          <w:rFonts w:ascii="Arial" w:hAnsi="Arial" w:cs="Arial"/>
          <w:sz w:val="24"/>
          <w:szCs w:val="24"/>
          <w:lang w:val="en-US"/>
        </w:rPr>
        <w:t xml:space="preserve">Pharmacological Research. 2019;55:351-8.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lang w:val="en-US"/>
        </w:rPr>
        <w:t>17.</w:t>
      </w:r>
      <w:r w:rsidRPr="00781215">
        <w:rPr>
          <w:rFonts w:ascii="Arial" w:hAnsi="Arial" w:cs="Arial"/>
          <w:sz w:val="24"/>
          <w:szCs w:val="24"/>
          <w:lang w:val="en-US"/>
        </w:rPr>
        <w:tab/>
        <w:t xml:space="preserve">Martín-Gallán P, Carrascosa A, Gussinyé M, Domínguez C. Oxidative stress in childhood type 1 diabetes: results from a study covering the first 20 years of evolution. </w:t>
      </w:r>
      <w:r w:rsidRPr="00781215">
        <w:rPr>
          <w:rFonts w:ascii="Arial" w:hAnsi="Arial" w:cs="Arial"/>
          <w:sz w:val="24"/>
          <w:szCs w:val="24"/>
        </w:rPr>
        <w:t xml:space="preserve">Free Radical Research. 2017;41(8):919-28.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rPr>
        <w:lastRenderedPageBreak/>
        <w:t>18.</w:t>
      </w:r>
      <w:r w:rsidRPr="00781215">
        <w:rPr>
          <w:rFonts w:ascii="Arial" w:hAnsi="Arial" w:cs="Arial"/>
          <w:sz w:val="24"/>
          <w:szCs w:val="24"/>
        </w:rPr>
        <w:tab/>
        <w:t>Alvarez A, Guevara M, Riaño A, Garrido G. Eficacia del tratamiento con extracto de corteza de Mangifera indica L. (Vimang) (crema 1,2 % y tabletas 150 mg) sobre el herpes zoster. Presentación de un caso. Rev Cub Farm. 2018;36: 170-72.</w:t>
      </w:r>
    </w:p>
    <w:p w:rsidR="00781215" w:rsidRPr="00781215" w:rsidRDefault="00781215" w:rsidP="009B73B5">
      <w:pPr>
        <w:spacing w:line="276" w:lineRule="auto"/>
        <w:jc w:val="both"/>
        <w:rPr>
          <w:rFonts w:ascii="Arial" w:hAnsi="Arial" w:cs="Arial"/>
          <w:sz w:val="24"/>
          <w:szCs w:val="24"/>
          <w:lang w:val="en-US"/>
        </w:rPr>
      </w:pPr>
      <w:r w:rsidRPr="00781215">
        <w:rPr>
          <w:rFonts w:ascii="Arial" w:hAnsi="Arial" w:cs="Arial"/>
          <w:sz w:val="24"/>
          <w:szCs w:val="24"/>
        </w:rPr>
        <w:t>19.</w:t>
      </w:r>
      <w:r w:rsidRPr="00781215">
        <w:rPr>
          <w:rFonts w:ascii="Arial" w:hAnsi="Arial" w:cs="Arial"/>
          <w:sz w:val="24"/>
          <w:szCs w:val="24"/>
        </w:rPr>
        <w:tab/>
        <w:t xml:space="preserve">Martínez Sánchez G, Re L, Giuliani A, Núñez Sellés AJ. </w:t>
      </w:r>
      <w:r w:rsidRPr="00781215">
        <w:rPr>
          <w:rFonts w:ascii="Arial" w:hAnsi="Arial" w:cs="Arial"/>
          <w:sz w:val="24"/>
          <w:szCs w:val="24"/>
          <w:lang w:val="en-US"/>
        </w:rPr>
        <w:t xml:space="preserve">Protective effects of Mangifera indica L. extract, mangiferin, </w:t>
      </w:r>
    </w:p>
    <w:p w:rsidR="00781215" w:rsidRPr="00781215" w:rsidRDefault="00781215" w:rsidP="009B73B5">
      <w:pPr>
        <w:spacing w:line="276" w:lineRule="auto"/>
        <w:jc w:val="both"/>
        <w:rPr>
          <w:rFonts w:ascii="Arial" w:hAnsi="Arial" w:cs="Arial"/>
          <w:sz w:val="24"/>
          <w:szCs w:val="24"/>
        </w:rPr>
      </w:pPr>
      <w:r w:rsidRPr="00781215">
        <w:rPr>
          <w:rFonts w:ascii="Arial" w:hAnsi="Arial" w:cs="Arial"/>
          <w:sz w:val="24"/>
          <w:szCs w:val="24"/>
          <w:lang w:val="en-US"/>
        </w:rPr>
        <w:t xml:space="preserve">and selected antioxidants against TPA-induced biomolecules oxidation and peritoneal macrophage activation in mice. </w:t>
      </w:r>
      <w:r w:rsidRPr="00781215">
        <w:rPr>
          <w:rFonts w:ascii="Arial" w:hAnsi="Arial" w:cs="Arial"/>
          <w:sz w:val="24"/>
          <w:szCs w:val="24"/>
        </w:rPr>
        <w:t>Pharmacol Res. 2016;42:565-73.</w:t>
      </w:r>
    </w:p>
    <w:p w:rsidR="00912C6A" w:rsidRPr="00781215" w:rsidRDefault="00912C6A" w:rsidP="00781215">
      <w:pPr>
        <w:spacing w:line="360" w:lineRule="auto"/>
        <w:jc w:val="both"/>
        <w:rPr>
          <w:rFonts w:ascii="Arial" w:hAnsi="Arial" w:cs="Arial"/>
          <w:sz w:val="24"/>
          <w:szCs w:val="24"/>
        </w:rPr>
      </w:pPr>
    </w:p>
    <w:sectPr w:rsidR="00912C6A" w:rsidRPr="00781215" w:rsidSect="00781215">
      <w:pgSz w:w="12240" w:h="15840" w:code="1"/>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F71CD"/>
    <w:multiLevelType w:val="hybridMultilevel"/>
    <w:tmpl w:val="24A4ED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3D247C"/>
    <w:multiLevelType w:val="hybridMultilevel"/>
    <w:tmpl w:val="B2EE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B79F2"/>
    <w:multiLevelType w:val="hybridMultilevel"/>
    <w:tmpl w:val="331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B14EA"/>
    <w:multiLevelType w:val="hybridMultilevel"/>
    <w:tmpl w:val="2C38CCAA"/>
    <w:lvl w:ilvl="0" w:tplc="379CD61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15"/>
    <w:rsid w:val="00213467"/>
    <w:rsid w:val="00781215"/>
    <w:rsid w:val="00843B5E"/>
    <w:rsid w:val="00912C6A"/>
    <w:rsid w:val="009B73B5"/>
    <w:rsid w:val="00BF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6861"/>
  <w15:chartTrackingRefBased/>
  <w15:docId w15:val="{3A311C56-AC58-445B-BA90-BBFD8F54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1215"/>
    <w:pPr>
      <w:ind w:left="720"/>
      <w:contextualSpacing/>
    </w:pPr>
  </w:style>
  <w:style w:type="character" w:customStyle="1" w:styleId="corchete-llamada">
    <w:name w:val="corchete-llamada"/>
    <w:uiPriority w:val="99"/>
    <w:rsid w:val="00781215"/>
  </w:style>
  <w:style w:type="paragraph" w:styleId="NormalWeb">
    <w:name w:val="Normal (Web)"/>
    <w:basedOn w:val="Normal"/>
    <w:uiPriority w:val="99"/>
    <w:rsid w:val="0078121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134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143-5371" TargetMode="External"/><Relationship Id="rId13" Type="http://schemas.openxmlformats.org/officeDocument/2006/relationships/hyperlink" Target="mailto:medratomo4@gmail.com" TargetMode="External"/><Relationship Id="rId3" Type="http://schemas.openxmlformats.org/officeDocument/2006/relationships/styles" Target="styles.xml"/><Relationship Id="rId7" Type="http://schemas.openxmlformats.org/officeDocument/2006/relationships/hyperlink" Target="mailto:dianet.pena99@gmail.com" TargetMode="External"/><Relationship Id="rId12" Type="http://schemas.openxmlformats.org/officeDocument/2006/relationships/hyperlink" Target="https://orcid.org/0000-0002-5857-6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rcid.org/0000-0002-4910-4287" TargetMode="External"/><Relationship Id="rId11" Type="http://schemas.openxmlformats.org/officeDocument/2006/relationships/hyperlink" Target="mailto:chaconexposito991105@gmail.com" TargetMode="External"/><Relationship Id="rId5" Type="http://schemas.openxmlformats.org/officeDocument/2006/relationships/webSettings" Target="webSettings.xml"/><Relationship Id="rId15" Type="http://schemas.openxmlformats.org/officeDocument/2006/relationships/hyperlink" Target="mailto:drykurage@gmail.com" TargetMode="External"/><Relationship Id="rId10" Type="http://schemas.openxmlformats.org/officeDocument/2006/relationships/hyperlink" Target="https://orcid.org/0000-0003-2443-1721" TargetMode="External"/><Relationship Id="rId4" Type="http://schemas.openxmlformats.org/officeDocument/2006/relationships/settings" Target="settings.xml"/><Relationship Id="rId9" Type="http://schemas.openxmlformats.org/officeDocument/2006/relationships/hyperlink" Target="mailto:dianetsarahi99@gmail.com" TargetMode="External"/><Relationship Id="rId14" Type="http://schemas.openxmlformats.org/officeDocument/2006/relationships/hyperlink" Target="https://orcid.org/0000-0002-0649-95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D9B0-498C-4A3E-A35F-D6087349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3990</Words>
  <Characters>22749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c:creator>
  <cp:keywords/>
  <dc:description/>
  <cp:lastModifiedBy>DI</cp:lastModifiedBy>
  <cp:revision>1</cp:revision>
  <dcterms:created xsi:type="dcterms:W3CDTF">2022-10-30T20:38:00Z</dcterms:created>
  <dcterms:modified xsi:type="dcterms:W3CDTF">2022-10-30T21:24:00Z</dcterms:modified>
</cp:coreProperties>
</file>